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100</w:t>
      </w:r>
      <w:r w:rsidR="002046EE">
        <w:rPr>
          <w:rFonts w:ascii="Arial" w:hAnsi="Arial" w:cs="Arial"/>
          <w:b/>
          <w:bCs/>
          <w:snapToGrid w:val="0"/>
          <w:sz w:val="24"/>
        </w:rPr>
        <w:t>bis</w:t>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DA59AE" w:rsidRPr="00DA59AE">
        <w:rPr>
          <w:rFonts w:ascii="Arial" w:hAnsi="Arial" w:cs="Arial"/>
          <w:b/>
          <w:bCs/>
          <w:snapToGrid w:val="0"/>
          <w:sz w:val="24"/>
        </w:rPr>
        <w:t>R1-2001891</w:t>
      </w:r>
    </w:p>
    <w:p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2046EE" w:rsidRPr="002046EE">
        <w:rPr>
          <w:rFonts w:ascii="Arial" w:hAnsi="Arial" w:cs="Arial"/>
          <w:b/>
          <w:bCs/>
          <w:snapToGrid w:val="0"/>
          <w:sz w:val="24"/>
          <w:lang w:val="en-GB"/>
        </w:rPr>
        <w:t>April 20</w:t>
      </w:r>
      <w:r w:rsidR="002046EE" w:rsidRPr="002046EE">
        <w:rPr>
          <w:rFonts w:ascii="Arial" w:hAnsi="Arial" w:cs="Arial"/>
          <w:b/>
          <w:bCs/>
          <w:snapToGrid w:val="0"/>
          <w:sz w:val="24"/>
          <w:vertAlign w:val="superscript"/>
          <w:lang w:val="en-GB"/>
        </w:rPr>
        <w:t>th</w:t>
      </w:r>
      <w:r w:rsidR="002046EE">
        <w:rPr>
          <w:rFonts w:ascii="Arial" w:hAnsi="Arial" w:cs="Arial"/>
          <w:b/>
          <w:bCs/>
          <w:snapToGrid w:val="0"/>
          <w:sz w:val="24"/>
          <w:lang w:val="en-GB"/>
        </w:rPr>
        <w:t xml:space="preserve"> </w:t>
      </w:r>
      <w:r w:rsidR="002046EE" w:rsidRPr="002046EE">
        <w:rPr>
          <w:rFonts w:ascii="Arial" w:hAnsi="Arial" w:cs="Arial"/>
          <w:b/>
          <w:bCs/>
          <w:snapToGrid w:val="0"/>
          <w:sz w:val="24"/>
          <w:lang w:val="en-GB"/>
        </w:rPr>
        <w:t>– 30</w:t>
      </w:r>
      <w:r w:rsidR="002046EE" w:rsidRPr="002046EE">
        <w:rPr>
          <w:rFonts w:ascii="Arial" w:hAnsi="Arial" w:cs="Arial"/>
          <w:b/>
          <w:bCs/>
          <w:snapToGrid w:val="0"/>
          <w:sz w:val="24"/>
          <w:vertAlign w:val="superscript"/>
          <w:lang w:val="en-GB"/>
        </w:rPr>
        <w:t>th</w:t>
      </w:r>
      <w:r w:rsidR="002046EE" w:rsidRPr="002046EE">
        <w:rPr>
          <w:rFonts w:ascii="Arial" w:hAnsi="Arial" w:cs="Arial"/>
          <w:b/>
          <w:bCs/>
          <w:snapToGrid w:val="0"/>
          <w:sz w:val="24"/>
          <w:lang w:val="en-GB"/>
        </w:rPr>
        <w:t>,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DA59AE" w:rsidRPr="00DA59AE">
        <w:rPr>
          <w:rFonts w:ascii="Arial" w:hAnsi="Arial" w:cs="Arial"/>
          <w:snapToGrid w:val="0"/>
          <w:sz w:val="24"/>
        </w:rPr>
        <w:t>7.2.11.4</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DA59AE" w:rsidRPr="00DA59AE">
        <w:rPr>
          <w:rFonts w:ascii="Arial" w:hAnsi="Arial" w:cs="Arial"/>
          <w:snapToGrid w:val="0"/>
          <w:sz w:val="24"/>
        </w:rPr>
        <w:t>Discussion on NR Rel-16 UE features for 5G V2X</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DA59AE"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Introduction</w:t>
      </w:r>
      <w:r w:rsidR="00CA134C" w:rsidRPr="0022441E">
        <w:rPr>
          <w:rFonts w:ascii="Times New Roman" w:eastAsia="SimSun" w:hAnsi="Times New Roman"/>
          <w:b/>
          <w:kern w:val="32"/>
          <w:sz w:val="28"/>
          <w:lang w:val="en-US" w:eastAsia="zh-CN"/>
        </w:rPr>
        <w:t xml:space="preserve"> </w:t>
      </w:r>
    </w:p>
    <w:p w:rsidR="00DA59AE" w:rsidRDefault="00247044" w:rsidP="00DA59AE">
      <w:pPr>
        <w:widowControl/>
        <w:spacing w:after="120"/>
        <w:ind w:firstLine="403"/>
        <w:rPr>
          <w:rFonts w:ascii="Calibri" w:hAnsi="Calibri" w:cs="Calibri"/>
          <w:sz w:val="22"/>
        </w:rPr>
      </w:pPr>
      <w:r>
        <w:rPr>
          <w:rFonts w:ascii="Calibri" w:hAnsi="Calibri" w:cs="Calibri"/>
          <w:sz w:val="22"/>
        </w:rPr>
        <w:t xml:space="preserve">RAN1 NR Rel-16 UE feature list was updated in [1], and this contribution provides discussions on the 5G V2X WI part including its impact on the LTE UE feature list </w:t>
      </w:r>
      <w:r w:rsidR="009C4198">
        <w:rPr>
          <w:rFonts w:ascii="Calibri" w:hAnsi="Calibri" w:cs="Calibri"/>
          <w:sz w:val="22"/>
        </w:rPr>
        <w:t xml:space="preserve">in </w:t>
      </w:r>
      <w:r>
        <w:rPr>
          <w:rFonts w:ascii="Calibri" w:hAnsi="Calibri" w:cs="Calibri"/>
          <w:sz w:val="22"/>
        </w:rPr>
        <w:t>[2].</w:t>
      </w:r>
    </w:p>
    <w:p w:rsidR="00247044" w:rsidRDefault="00247044" w:rsidP="00DA59AE">
      <w:pPr>
        <w:widowControl/>
        <w:spacing w:after="120"/>
        <w:ind w:firstLine="403"/>
        <w:rPr>
          <w:rFonts w:ascii="Calibri" w:hAnsi="Calibri" w:cs="Calibri"/>
          <w:sz w:val="22"/>
        </w:rPr>
      </w:pPr>
    </w:p>
    <w:p w:rsidR="00247044" w:rsidRPr="0022441E" w:rsidRDefault="00247044" w:rsidP="00247044">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Discussion</w:t>
      </w:r>
    </w:p>
    <w:p w:rsidR="00247044" w:rsidRPr="00247044" w:rsidRDefault="00247044" w:rsidP="00247044">
      <w:pPr>
        <w:widowControl/>
        <w:spacing w:after="120"/>
        <w:rPr>
          <w:rFonts w:ascii="Calibri" w:hAnsi="Calibri" w:cs="Calibri"/>
          <w:b/>
          <w:sz w:val="22"/>
          <w:u w:val="single"/>
        </w:rPr>
      </w:pPr>
      <w:r w:rsidRPr="00247044">
        <w:rPr>
          <w:rFonts w:ascii="Calibri" w:hAnsi="Calibri" w:cs="Calibri"/>
          <w:b/>
          <w:sz w:val="22"/>
          <w:u w:val="single"/>
        </w:rPr>
        <w:t>Basic feature group</w:t>
      </w:r>
      <w:r>
        <w:rPr>
          <w:rFonts w:ascii="Calibri" w:hAnsi="Calibri" w:cs="Calibri"/>
          <w:b/>
          <w:sz w:val="22"/>
          <w:u w:val="single"/>
        </w:rPr>
        <w:t>s</w:t>
      </w:r>
    </w:p>
    <w:p w:rsidR="002046EE" w:rsidRDefault="009C4198" w:rsidP="00247044">
      <w:pPr>
        <w:widowControl/>
        <w:spacing w:after="120"/>
        <w:ind w:firstLine="403"/>
        <w:rPr>
          <w:rFonts w:ascii="Calibri" w:hAnsi="Calibri" w:cs="Calibri"/>
          <w:sz w:val="22"/>
        </w:rPr>
      </w:pPr>
      <w:r>
        <w:rPr>
          <w:rFonts w:ascii="Calibri" w:hAnsi="Calibri" w:cs="Calibri"/>
          <w:sz w:val="22"/>
        </w:rPr>
        <w:t>For the sid</w:t>
      </w:r>
      <w:r w:rsidR="00247044">
        <w:rPr>
          <w:rFonts w:ascii="Calibri" w:hAnsi="Calibri" w:cs="Calibri"/>
          <w:sz w:val="22"/>
        </w:rPr>
        <w:t>e</w:t>
      </w:r>
      <w:r>
        <w:rPr>
          <w:rFonts w:ascii="Calibri" w:hAnsi="Calibri" w:cs="Calibri"/>
          <w:sz w:val="22"/>
        </w:rPr>
        <w:t>l</w:t>
      </w:r>
      <w:r w:rsidR="00247044">
        <w:rPr>
          <w:rFonts w:ascii="Calibri" w:hAnsi="Calibri" w:cs="Calibri"/>
          <w:sz w:val="22"/>
        </w:rPr>
        <w:t xml:space="preserve">ink operation outside network coverage, a kind of profiling is necessary so that the UEs participating in a service can have a common set of minimum UE capability especially when the service is based on the broadcast or groupcast where no inter-UE capability signaling via PC5-RRC can be used. Such a common set of minimum UE capability can be defined either by the application layer specifications (like those defined by ETSI ITS or SAE in case of V2X) or by the 3GPP with the introduction of the basic feature groups. </w:t>
      </w:r>
      <w:r w:rsidR="000C11D1" w:rsidRPr="000C11D1">
        <w:rPr>
          <w:rFonts w:ascii="Calibri" w:hAnsi="Calibri" w:cs="Calibri"/>
          <w:sz w:val="22"/>
        </w:rPr>
        <w:t>If 3GPP agrees that some of these features can be properly included in the UEs via the other SDOs, it is not necessary to define the basic feature group; in fact this was the case in LTE V2X.</w:t>
      </w:r>
      <w:r w:rsidR="000C11D1">
        <w:rPr>
          <w:rFonts w:ascii="Calibri" w:hAnsi="Calibri" w:cs="Calibri"/>
          <w:sz w:val="22"/>
        </w:rPr>
        <w:t xml:space="preserve"> However, if 3GPP needs to define the basic feature groups, for example, for the reason that there</w:t>
      </w:r>
      <w:r>
        <w:rPr>
          <w:rFonts w:ascii="Calibri" w:hAnsi="Calibri" w:cs="Calibri"/>
          <w:sz w:val="22"/>
        </w:rPr>
        <w:t xml:space="preserve"> are much wider services for NR sid</w:t>
      </w:r>
      <w:r w:rsidR="000C11D1">
        <w:rPr>
          <w:rFonts w:ascii="Calibri" w:hAnsi="Calibri" w:cs="Calibri"/>
          <w:sz w:val="22"/>
        </w:rPr>
        <w:t>e</w:t>
      </w:r>
      <w:r>
        <w:rPr>
          <w:rFonts w:ascii="Calibri" w:hAnsi="Calibri" w:cs="Calibri"/>
          <w:sz w:val="22"/>
        </w:rPr>
        <w:t>l</w:t>
      </w:r>
      <w:r w:rsidR="000C11D1">
        <w:rPr>
          <w:rFonts w:ascii="Calibri" w:hAnsi="Calibri" w:cs="Calibri"/>
          <w:sz w:val="22"/>
        </w:rPr>
        <w:t>ink and it is difficult</w:t>
      </w:r>
      <w:r>
        <w:rPr>
          <w:rFonts w:ascii="Calibri" w:hAnsi="Calibri" w:cs="Calibri"/>
          <w:sz w:val="22"/>
        </w:rPr>
        <w:t>/</w:t>
      </w:r>
      <w:r w:rsidR="000C11D1">
        <w:rPr>
          <w:rFonts w:ascii="Calibri" w:hAnsi="Calibri" w:cs="Calibri"/>
          <w:sz w:val="22"/>
        </w:rPr>
        <w:t xml:space="preserve">unproductive to expect proper UE capability profiling in each service, it seems reasonable to include FG 15-1 (receiving NR sidelink), FG 15-3 (transmitting NR sidelink mode 2), FG 15-4 (GNSS and S-SSB), and FG 15-11 (PSFCH format 0) which are considered as the essential features for advanced V2X use cases especially based on groupcast. In addition to this, FG 15-5 (sidelink congestion control) can be considered as </w:t>
      </w:r>
      <w:r w:rsidR="00451B9D">
        <w:rPr>
          <w:rFonts w:ascii="Calibri" w:hAnsi="Calibri" w:cs="Calibri"/>
          <w:sz w:val="22"/>
        </w:rPr>
        <w:t xml:space="preserve">it is expected to be required by many V2X applications. </w:t>
      </w:r>
      <w:r w:rsidR="000C11D1">
        <w:rPr>
          <w:rFonts w:ascii="Calibri" w:hAnsi="Calibri" w:cs="Calibri"/>
          <w:sz w:val="22"/>
        </w:rPr>
        <w:t>FG 15-2 (transmitting NR sidleink mode 1) can be also included in the basic FGs in a licensed band where gNB is defined so that the operator can always control NR side</w:t>
      </w:r>
      <w:r>
        <w:rPr>
          <w:rFonts w:ascii="Calibri" w:hAnsi="Calibri" w:cs="Calibri"/>
          <w:sz w:val="22"/>
        </w:rPr>
        <w:t>l</w:t>
      </w:r>
      <w:r w:rsidR="000C11D1">
        <w:rPr>
          <w:rFonts w:ascii="Calibri" w:hAnsi="Calibri" w:cs="Calibri"/>
          <w:sz w:val="22"/>
        </w:rPr>
        <w:t xml:space="preserve">ink via DCI in a licensed band. </w:t>
      </w:r>
    </w:p>
    <w:p w:rsidR="00247044" w:rsidRDefault="00451B9D" w:rsidP="000C11D1">
      <w:pPr>
        <w:widowControl/>
        <w:spacing w:after="120"/>
        <w:ind w:firstLine="403"/>
        <w:rPr>
          <w:rFonts w:ascii="Calibri" w:hAnsi="Calibri" w:cs="Calibri"/>
          <w:sz w:val="22"/>
        </w:rPr>
      </w:pPr>
      <w:r>
        <w:rPr>
          <w:rFonts w:ascii="Calibri" w:hAnsi="Calibri" w:cs="Calibri" w:hint="eastAsia"/>
          <w:sz w:val="22"/>
        </w:rPr>
        <w:t xml:space="preserve">The FGs mainly targeting sidelink unicast </w:t>
      </w:r>
      <w:r>
        <w:rPr>
          <w:rFonts w:ascii="Calibri" w:hAnsi="Calibri" w:cs="Calibri"/>
          <w:sz w:val="22"/>
        </w:rPr>
        <w:t xml:space="preserve">(e.g., FG 15-14 (sidelink CSI report), FG 15-23 (open loop power control based on SL pathloss)) </w:t>
      </w:r>
      <w:r>
        <w:rPr>
          <w:rFonts w:ascii="Calibri" w:hAnsi="Calibri" w:cs="Calibri" w:hint="eastAsia"/>
          <w:sz w:val="22"/>
        </w:rPr>
        <w:t>do not need to be</w:t>
      </w:r>
      <w:r>
        <w:rPr>
          <w:rFonts w:ascii="Calibri" w:hAnsi="Calibri" w:cs="Calibri"/>
          <w:sz w:val="22"/>
        </w:rPr>
        <w:t xml:space="preserve"> included in the basic feature groups as the UEs can exchange their capability and take the proper configuration accordingly. </w:t>
      </w:r>
    </w:p>
    <w:p w:rsidR="000C11D1" w:rsidRPr="00451B9D" w:rsidRDefault="00451B9D" w:rsidP="002046EE">
      <w:pPr>
        <w:widowControl/>
        <w:spacing w:after="120"/>
        <w:rPr>
          <w:rFonts w:ascii="Calibri" w:hAnsi="Calibri" w:cs="Calibri"/>
          <w:b/>
          <w:sz w:val="22"/>
        </w:rPr>
      </w:pPr>
      <w:r w:rsidRPr="00451B9D">
        <w:rPr>
          <w:rFonts w:ascii="Calibri" w:hAnsi="Calibri" w:cs="Calibri" w:hint="eastAsia"/>
          <w:b/>
          <w:sz w:val="22"/>
        </w:rPr>
        <w:t xml:space="preserve">Proposal 1: </w:t>
      </w:r>
      <w:r w:rsidRPr="00451B9D">
        <w:rPr>
          <w:rFonts w:ascii="Calibri" w:hAnsi="Calibri" w:cs="Calibri"/>
          <w:b/>
          <w:sz w:val="22"/>
        </w:rPr>
        <w:t>If RAN1 agrees to define the basic feature groups, it is proposed to include FG 15-1 (receiving NR sidelink), FG 15-3 (transmitting NR sidelink mode 2), FG 15-4 (GNSS and S-SSB), FG 15-5 (sidelink congestion control), FG 15-11 (PSFCH format 0), and FG 15-2 (transmitting NR sidleink mode 1). If RAN1 agrees that some of them can be managed by other means, it is not necessary to define the basic feature group in 3GPP.</w:t>
      </w:r>
    </w:p>
    <w:p w:rsidR="00451B9D" w:rsidRDefault="00451B9D" w:rsidP="002046EE">
      <w:pPr>
        <w:widowControl/>
        <w:spacing w:after="120"/>
        <w:rPr>
          <w:rFonts w:ascii="Calibri" w:hAnsi="Calibri" w:cs="Calibri"/>
          <w:sz w:val="22"/>
        </w:rPr>
      </w:pPr>
    </w:p>
    <w:p w:rsidR="00451B9D" w:rsidRPr="00247044" w:rsidRDefault="00451B9D" w:rsidP="00451B9D">
      <w:pPr>
        <w:widowControl/>
        <w:spacing w:after="120"/>
        <w:rPr>
          <w:rFonts w:ascii="Calibri" w:hAnsi="Calibri" w:cs="Calibri"/>
          <w:b/>
          <w:sz w:val="22"/>
          <w:u w:val="single"/>
        </w:rPr>
      </w:pPr>
      <w:r w:rsidRPr="00451B9D">
        <w:rPr>
          <w:rFonts w:ascii="Calibri" w:hAnsi="Calibri" w:cs="Calibri"/>
          <w:b/>
          <w:sz w:val="22"/>
          <w:u w:val="single"/>
        </w:rPr>
        <w:t>Details of the</w:t>
      </w:r>
      <w:r>
        <w:rPr>
          <w:rFonts w:ascii="Calibri" w:hAnsi="Calibri" w:cs="Calibri"/>
          <w:b/>
          <w:sz w:val="22"/>
          <w:u w:val="single"/>
        </w:rPr>
        <w:t xml:space="preserve"> components in </w:t>
      </w:r>
      <w:r w:rsidR="009C4198">
        <w:rPr>
          <w:rFonts w:ascii="Calibri" w:hAnsi="Calibri" w:cs="Calibri"/>
          <w:b/>
          <w:sz w:val="22"/>
          <w:u w:val="single"/>
        </w:rPr>
        <w:t xml:space="preserve">FGs </w:t>
      </w:r>
      <w:r>
        <w:rPr>
          <w:rFonts w:ascii="Calibri" w:hAnsi="Calibri" w:cs="Calibri"/>
          <w:b/>
          <w:sz w:val="22"/>
          <w:u w:val="single"/>
        </w:rPr>
        <w:t>15-1, 15-2, 15-3</w:t>
      </w:r>
    </w:p>
    <w:p w:rsidR="000205B4" w:rsidRDefault="00BB696D" w:rsidP="00451B9D">
      <w:pPr>
        <w:widowControl/>
        <w:spacing w:after="120"/>
        <w:ind w:firstLine="403"/>
        <w:rPr>
          <w:rFonts w:ascii="Calibri" w:hAnsi="Calibri" w:cs="Calibri"/>
          <w:sz w:val="22"/>
        </w:rPr>
      </w:pPr>
      <w:r>
        <w:rPr>
          <w:rFonts w:ascii="Calibri" w:hAnsi="Calibri" w:cs="Calibri" w:hint="eastAsia"/>
          <w:sz w:val="22"/>
        </w:rPr>
        <w:t xml:space="preserve">For the </w:t>
      </w:r>
      <w:r>
        <w:rPr>
          <w:rFonts w:ascii="Calibri" w:hAnsi="Calibri" w:cs="Calibri"/>
          <w:sz w:val="22"/>
        </w:rPr>
        <w:t>number of PSCCH and RBs a UE can decode/receive in FG 15-1, it is noteworthy that NR sidleink is likely to support a wide range of sidelink bandwidth (from 5 to 100 MHz in FR1 and from 50 to 400 MHz in FR2 if Uu bandwidth configuration is reused)</w:t>
      </w:r>
      <w:r w:rsidR="000205B4">
        <w:rPr>
          <w:rFonts w:ascii="Calibri" w:hAnsi="Calibri" w:cs="Calibri"/>
          <w:sz w:val="22"/>
        </w:rPr>
        <w:t>. So</w:t>
      </w:r>
      <w:r>
        <w:rPr>
          <w:rFonts w:ascii="Calibri" w:hAnsi="Calibri" w:cs="Calibri"/>
          <w:sz w:val="22"/>
        </w:rPr>
        <w:t xml:space="preserve"> it is proposed to have sufficient flexibility in signaling these numbers via FG 15-1. </w:t>
      </w:r>
      <w:r w:rsidR="000205B4">
        <w:rPr>
          <w:rFonts w:ascii="Calibri" w:hAnsi="Calibri" w:cs="Calibri"/>
          <w:sz w:val="22"/>
        </w:rPr>
        <w:t>An example is to reuse the number of RBs in the Uu bandwidth configurations as the candidates of the number of RBs a UE can receive in sidelink. The number of decodable PSCCH can be obtained by dividing this number by the minimum sub-channel size.</w:t>
      </w:r>
    </w:p>
    <w:p w:rsidR="00BB696D" w:rsidRDefault="00BB696D" w:rsidP="00451B9D">
      <w:pPr>
        <w:widowControl/>
        <w:spacing w:after="120"/>
        <w:ind w:firstLine="403"/>
        <w:rPr>
          <w:rFonts w:ascii="Calibri" w:hAnsi="Calibri" w:cs="Calibri"/>
          <w:sz w:val="22"/>
        </w:rPr>
      </w:pPr>
      <w:r>
        <w:rPr>
          <w:rFonts w:ascii="Calibri" w:hAnsi="Calibri" w:cs="Calibri"/>
          <w:sz w:val="22"/>
        </w:rPr>
        <w:lastRenderedPageBreak/>
        <w:t>Though the number of RBs in a given bandwidth varies depending on the subcarrier spacing, the</w:t>
      </w:r>
      <w:r w:rsidR="000205B4">
        <w:rPr>
          <w:rFonts w:ascii="Calibri" w:hAnsi="Calibri" w:cs="Calibri"/>
          <w:sz w:val="22"/>
        </w:rPr>
        <w:t xml:space="preserve"> above</w:t>
      </w:r>
      <w:r>
        <w:rPr>
          <w:rFonts w:ascii="Calibri" w:hAnsi="Calibri" w:cs="Calibri"/>
          <w:sz w:val="22"/>
        </w:rPr>
        <w:t xml:space="preserve"> numbers </w:t>
      </w:r>
      <w:r w:rsidR="00571B44">
        <w:rPr>
          <w:rFonts w:ascii="Calibri" w:hAnsi="Calibri" w:cs="Calibri"/>
          <w:sz w:val="22"/>
        </w:rPr>
        <w:t xml:space="preserve">are not necessarily </w:t>
      </w:r>
      <w:r>
        <w:rPr>
          <w:rFonts w:ascii="Calibri" w:hAnsi="Calibri" w:cs="Calibri"/>
          <w:sz w:val="22"/>
        </w:rPr>
        <w:t>reported</w:t>
      </w:r>
      <w:r w:rsidR="00571B44">
        <w:rPr>
          <w:rFonts w:ascii="Calibri" w:hAnsi="Calibri" w:cs="Calibri"/>
          <w:sz w:val="22"/>
        </w:rPr>
        <w:t xml:space="preserve"> </w:t>
      </w:r>
      <w:r w:rsidR="00571B44" w:rsidRPr="00571B44">
        <w:rPr>
          <w:rFonts w:ascii="Calibri" w:hAnsi="Calibri" w:cs="Calibri"/>
          <w:sz w:val="22"/>
        </w:rPr>
        <w:t xml:space="preserve">differently </w:t>
      </w:r>
      <w:r w:rsidR="00571B44">
        <w:rPr>
          <w:rFonts w:ascii="Calibri" w:hAnsi="Calibri" w:cs="Calibri"/>
          <w:sz w:val="22"/>
        </w:rPr>
        <w:t>in different subcarrier spacing. For example, if a UE can decode X PSCCH in a slot (1 ms) with 15 kHz subcarrier spacing, with the same bandwidth but 30 kHz subcarrier spacing, it can be assumed that the UE can decode X/2 PSCCH in a slot (0.5 ms) which results in the same PSCCH decoding power of X PSCCH per ms.</w:t>
      </w:r>
    </w:p>
    <w:p w:rsidR="000C11D1" w:rsidRDefault="00451B9D" w:rsidP="00451B9D">
      <w:pPr>
        <w:widowControl/>
        <w:spacing w:after="120"/>
        <w:ind w:firstLine="403"/>
        <w:rPr>
          <w:rFonts w:ascii="Calibri" w:hAnsi="Calibri" w:cs="Calibri"/>
          <w:sz w:val="22"/>
        </w:rPr>
      </w:pPr>
      <w:r>
        <w:rPr>
          <w:rFonts w:ascii="Calibri" w:hAnsi="Calibri" w:cs="Calibri"/>
          <w:sz w:val="22"/>
        </w:rPr>
        <w:t xml:space="preserve">At least for the 5.9 GHz ITS band (n47), a UE does not need to support many </w:t>
      </w:r>
      <w:r w:rsidR="000205B4">
        <w:rPr>
          <w:rFonts w:ascii="Calibri" w:hAnsi="Calibri" w:cs="Calibri"/>
          <w:sz w:val="22"/>
        </w:rPr>
        <w:t xml:space="preserve">different </w:t>
      </w:r>
      <w:r>
        <w:rPr>
          <w:rFonts w:ascii="Calibri" w:hAnsi="Calibri" w:cs="Calibri"/>
          <w:sz w:val="22"/>
        </w:rPr>
        <w:t xml:space="preserve">numerology </w:t>
      </w:r>
      <w:r w:rsidR="000205B4">
        <w:rPr>
          <w:rFonts w:ascii="Calibri" w:hAnsi="Calibri" w:cs="Calibri"/>
          <w:sz w:val="22"/>
        </w:rPr>
        <w:t xml:space="preserve">selections </w:t>
      </w:r>
      <w:r>
        <w:rPr>
          <w:rFonts w:ascii="Calibri" w:hAnsi="Calibri" w:cs="Calibri"/>
          <w:sz w:val="22"/>
        </w:rPr>
        <w:t xml:space="preserve">as it is likely that the most </w:t>
      </w:r>
      <w:r w:rsidR="00542635">
        <w:rPr>
          <w:rFonts w:ascii="Calibri" w:hAnsi="Calibri" w:cs="Calibri"/>
          <w:sz w:val="22"/>
        </w:rPr>
        <w:t xml:space="preserve">optimal one is selected and preconfigured for the out-coverage operations. Thus it is proposed that </w:t>
      </w:r>
      <w:r w:rsidR="00BB696D">
        <w:rPr>
          <w:rFonts w:ascii="Calibri" w:hAnsi="Calibri" w:cs="Calibri"/>
          <w:sz w:val="22"/>
        </w:rPr>
        <w:t>the candidate value set for the subcarrier spacing and CP length include</w:t>
      </w:r>
      <w:r w:rsidR="00571B44">
        <w:rPr>
          <w:rFonts w:ascii="Calibri" w:hAnsi="Calibri" w:cs="Calibri"/>
          <w:sz w:val="22"/>
        </w:rPr>
        <w:t>s</w:t>
      </w:r>
      <w:r w:rsidR="00BB696D">
        <w:rPr>
          <w:rFonts w:ascii="Calibri" w:hAnsi="Calibri" w:cs="Calibri"/>
          <w:sz w:val="22"/>
        </w:rPr>
        <w:t xml:space="preserve"> the support of only one subcarrier spacing and one CP length.</w:t>
      </w:r>
    </w:p>
    <w:p w:rsidR="00451B9D" w:rsidRPr="00571B44" w:rsidRDefault="00571B44" w:rsidP="002046EE">
      <w:pPr>
        <w:widowControl/>
        <w:spacing w:after="120"/>
        <w:rPr>
          <w:rFonts w:ascii="Calibri" w:hAnsi="Calibri" w:cs="Calibri"/>
          <w:b/>
          <w:sz w:val="22"/>
        </w:rPr>
      </w:pPr>
      <w:r w:rsidRPr="00571B44">
        <w:rPr>
          <w:rFonts w:ascii="Calibri" w:hAnsi="Calibri" w:cs="Calibri" w:hint="eastAsia"/>
          <w:b/>
          <w:sz w:val="22"/>
        </w:rPr>
        <w:t xml:space="preserve">Proposal 2: Sufficient </w:t>
      </w:r>
      <w:r w:rsidRPr="00571B44">
        <w:rPr>
          <w:rFonts w:ascii="Calibri" w:hAnsi="Calibri" w:cs="Calibri"/>
          <w:b/>
          <w:sz w:val="22"/>
        </w:rPr>
        <w:t>flexibility</w:t>
      </w:r>
      <w:r w:rsidRPr="00571B44">
        <w:rPr>
          <w:rFonts w:ascii="Calibri" w:hAnsi="Calibri" w:cs="Calibri" w:hint="eastAsia"/>
          <w:b/>
          <w:sz w:val="22"/>
        </w:rPr>
        <w:t xml:space="preserve"> </w:t>
      </w:r>
      <w:r w:rsidRPr="00571B44">
        <w:rPr>
          <w:rFonts w:ascii="Calibri" w:hAnsi="Calibri" w:cs="Calibri"/>
          <w:b/>
          <w:sz w:val="22"/>
        </w:rPr>
        <w:t>needs to be supported for the indication of the number of PSCCH and RBs a UE can decode/receive in FG 15-1.</w:t>
      </w:r>
      <w:r w:rsidR="000205B4">
        <w:rPr>
          <w:rFonts w:ascii="Calibri" w:hAnsi="Calibri" w:cs="Calibri"/>
          <w:b/>
          <w:sz w:val="22"/>
        </w:rPr>
        <w:t xml:space="preserve"> </w:t>
      </w:r>
      <w:r w:rsidR="000205B4" w:rsidRPr="000205B4">
        <w:rPr>
          <w:rFonts w:ascii="Calibri" w:hAnsi="Calibri" w:cs="Calibri"/>
          <w:b/>
          <w:sz w:val="22"/>
        </w:rPr>
        <w:t>An example is to reuse the number of RBs in the Uu bandwidth configurations as the candidates of the number of RBs a UE can receive in sidelink.</w:t>
      </w:r>
    </w:p>
    <w:p w:rsidR="00571B44" w:rsidRPr="00571B44" w:rsidRDefault="00571B44" w:rsidP="002046EE">
      <w:pPr>
        <w:widowControl/>
        <w:spacing w:after="120"/>
        <w:rPr>
          <w:rFonts w:ascii="Calibri" w:hAnsi="Calibri" w:cs="Calibri"/>
          <w:b/>
          <w:sz w:val="22"/>
        </w:rPr>
      </w:pPr>
      <w:r w:rsidRPr="00571B44">
        <w:rPr>
          <w:rFonts w:ascii="Calibri" w:hAnsi="Calibri" w:cs="Calibri" w:hint="eastAsia"/>
          <w:b/>
          <w:sz w:val="22"/>
        </w:rPr>
        <w:t xml:space="preserve">Proposal 3: </w:t>
      </w:r>
      <w:r>
        <w:rPr>
          <w:rFonts w:ascii="Calibri" w:hAnsi="Calibri" w:cs="Calibri"/>
          <w:b/>
          <w:sz w:val="22"/>
        </w:rPr>
        <w:t>T</w:t>
      </w:r>
      <w:r w:rsidRPr="00571B44">
        <w:rPr>
          <w:rFonts w:ascii="Calibri" w:hAnsi="Calibri" w:cs="Calibri"/>
          <w:b/>
          <w:sz w:val="22"/>
        </w:rPr>
        <w:t>he candidate value set for the subcarrier spacing and CP length include</w:t>
      </w:r>
      <w:r>
        <w:rPr>
          <w:rFonts w:ascii="Calibri" w:hAnsi="Calibri" w:cs="Calibri"/>
          <w:b/>
          <w:sz w:val="22"/>
        </w:rPr>
        <w:t>s</w:t>
      </w:r>
      <w:r w:rsidRPr="00571B44">
        <w:rPr>
          <w:rFonts w:ascii="Calibri" w:hAnsi="Calibri" w:cs="Calibri"/>
          <w:b/>
          <w:sz w:val="22"/>
        </w:rPr>
        <w:t xml:space="preserve"> the support of only one subcarrier spacing and one CP length.</w:t>
      </w:r>
    </w:p>
    <w:p w:rsidR="00451B9D" w:rsidRDefault="00451B9D" w:rsidP="002046EE">
      <w:pPr>
        <w:widowControl/>
        <w:spacing w:after="120"/>
        <w:rPr>
          <w:rFonts w:ascii="Calibri" w:hAnsi="Calibri" w:cs="Calibri"/>
          <w:sz w:val="22"/>
        </w:rPr>
      </w:pPr>
    </w:p>
    <w:p w:rsidR="00571B44" w:rsidRPr="00571B44" w:rsidRDefault="00571B44" w:rsidP="002046EE">
      <w:pPr>
        <w:widowControl/>
        <w:spacing w:after="120"/>
        <w:rPr>
          <w:rFonts w:ascii="Calibri" w:hAnsi="Calibri" w:cs="Calibri"/>
          <w:b/>
          <w:sz w:val="22"/>
          <w:u w:val="single"/>
        </w:rPr>
      </w:pPr>
      <w:r w:rsidRPr="00571B44">
        <w:rPr>
          <w:rFonts w:ascii="Calibri" w:hAnsi="Calibri" w:cs="Calibri"/>
          <w:b/>
          <w:sz w:val="22"/>
          <w:u w:val="single"/>
        </w:rPr>
        <w:t>Whether to separate FG according to the configuration method (i.e., whether to define 15-1a and 15-3a)</w:t>
      </w:r>
    </w:p>
    <w:p w:rsidR="00571B44" w:rsidRDefault="000A7F82" w:rsidP="00571B44">
      <w:pPr>
        <w:widowControl/>
        <w:spacing w:after="120"/>
        <w:ind w:firstLine="403"/>
        <w:rPr>
          <w:rFonts w:ascii="Calibri" w:hAnsi="Calibri" w:cs="Calibri"/>
          <w:sz w:val="22"/>
        </w:rPr>
      </w:pPr>
      <w:r>
        <w:rPr>
          <w:rFonts w:ascii="Calibri" w:hAnsi="Calibri" w:cs="Calibri" w:hint="eastAsia"/>
          <w:sz w:val="22"/>
        </w:rPr>
        <w:t xml:space="preserve">In general, the method of sidelink </w:t>
      </w:r>
      <w:r>
        <w:rPr>
          <w:rFonts w:ascii="Calibri" w:hAnsi="Calibri" w:cs="Calibri"/>
          <w:sz w:val="22"/>
        </w:rPr>
        <w:t>configuration does not require the separation of the feature groups as the physical layer operation is basically the same. One issue can be whether a UE supports Uu operation itself when it is operating sidelink in a frequency band. On this matter, it can be assumed that the UE will indicate in which band combination it can support concurrent operation of Uu and sidelink. Thus, when a UE support FG 15-1 or FG 15-3 in band X, it always supports pre-configuration for the sidelink operation in band X</w:t>
      </w:r>
      <w:r w:rsidR="0041049F">
        <w:rPr>
          <w:rFonts w:ascii="Calibri" w:hAnsi="Calibri" w:cs="Calibri"/>
          <w:sz w:val="22"/>
        </w:rPr>
        <w:t>.</w:t>
      </w:r>
      <w:r>
        <w:rPr>
          <w:rFonts w:ascii="Calibri" w:hAnsi="Calibri" w:cs="Calibri"/>
          <w:sz w:val="22"/>
        </w:rPr>
        <w:t xml:space="preserve"> </w:t>
      </w:r>
      <w:r w:rsidR="0041049F">
        <w:rPr>
          <w:rFonts w:ascii="Calibri" w:hAnsi="Calibri" w:cs="Calibri"/>
          <w:sz w:val="22"/>
        </w:rPr>
        <w:t>I</w:t>
      </w:r>
      <w:r>
        <w:rPr>
          <w:rFonts w:ascii="Calibri" w:hAnsi="Calibri" w:cs="Calibri"/>
          <w:sz w:val="22"/>
        </w:rPr>
        <w:t>n addition if it also supports the concurrent Uu operation in band Y, the UE also supports the network configuration via Uu in band Y. So it is proposed to remove FG 15-1a and FG 15-3a and to add such a note.</w:t>
      </w:r>
    </w:p>
    <w:p w:rsidR="000A7F82" w:rsidRPr="000A7F82" w:rsidRDefault="000A7F82" w:rsidP="000A7F82">
      <w:pPr>
        <w:widowControl/>
        <w:spacing w:after="120"/>
        <w:rPr>
          <w:rFonts w:ascii="Calibri" w:hAnsi="Calibri" w:cs="Calibri"/>
          <w:b/>
          <w:sz w:val="22"/>
        </w:rPr>
      </w:pPr>
      <w:r w:rsidRPr="000A7F82">
        <w:rPr>
          <w:rFonts w:ascii="Calibri" w:hAnsi="Calibri" w:cs="Calibri"/>
          <w:b/>
          <w:sz w:val="22"/>
        </w:rPr>
        <w:t xml:space="preserve">Proposal 4: FG 15-1a and FG 15-3a are removed. </w:t>
      </w:r>
      <w:r>
        <w:rPr>
          <w:rFonts w:ascii="Calibri" w:hAnsi="Calibri" w:cs="Calibri"/>
          <w:b/>
          <w:sz w:val="22"/>
        </w:rPr>
        <w:t>It is clarified that, for the side</w:t>
      </w:r>
      <w:r w:rsidR="0041049F">
        <w:rPr>
          <w:rFonts w:ascii="Calibri" w:hAnsi="Calibri" w:cs="Calibri"/>
          <w:b/>
          <w:sz w:val="22"/>
        </w:rPr>
        <w:t>l</w:t>
      </w:r>
      <w:r>
        <w:rPr>
          <w:rFonts w:ascii="Calibri" w:hAnsi="Calibri" w:cs="Calibri"/>
          <w:b/>
          <w:sz w:val="22"/>
        </w:rPr>
        <w:t xml:space="preserve">ink operation in a frequency band, the UE supports the pre-configuration and </w:t>
      </w:r>
      <w:r w:rsidR="0041049F">
        <w:rPr>
          <w:rFonts w:ascii="Calibri" w:hAnsi="Calibri" w:cs="Calibri"/>
          <w:b/>
          <w:sz w:val="22"/>
        </w:rPr>
        <w:t xml:space="preserve">it also supports </w:t>
      </w:r>
      <w:r>
        <w:rPr>
          <w:rFonts w:ascii="Calibri" w:hAnsi="Calibri" w:cs="Calibri"/>
          <w:b/>
          <w:sz w:val="22"/>
        </w:rPr>
        <w:t>the network configuration via Uu in a frequency band where the concurrent Uu operation is supported.</w:t>
      </w:r>
    </w:p>
    <w:p w:rsidR="00571B44" w:rsidRDefault="00571B44" w:rsidP="002046EE">
      <w:pPr>
        <w:widowControl/>
        <w:spacing w:after="120"/>
        <w:rPr>
          <w:rFonts w:ascii="Calibri" w:hAnsi="Calibri" w:cs="Calibri"/>
          <w:sz w:val="22"/>
        </w:rPr>
      </w:pPr>
    </w:p>
    <w:p w:rsidR="00571B44" w:rsidRPr="00571B44" w:rsidRDefault="00571B44" w:rsidP="002046EE">
      <w:pPr>
        <w:widowControl/>
        <w:spacing w:after="120"/>
        <w:rPr>
          <w:rFonts w:ascii="Calibri" w:hAnsi="Calibri" w:cs="Calibri"/>
          <w:b/>
          <w:sz w:val="22"/>
          <w:u w:val="single"/>
        </w:rPr>
      </w:pPr>
      <w:r w:rsidRPr="00571B44">
        <w:rPr>
          <w:rFonts w:ascii="Calibri" w:hAnsi="Calibri" w:cs="Calibri"/>
          <w:b/>
          <w:sz w:val="22"/>
          <w:u w:val="single"/>
        </w:rPr>
        <w:t>Whether to define a set of candidate values in 15-6</w:t>
      </w:r>
      <w:r w:rsidR="006C605E">
        <w:rPr>
          <w:rFonts w:ascii="Calibri" w:hAnsi="Calibri" w:cs="Calibri"/>
          <w:b/>
          <w:sz w:val="22"/>
          <w:u w:val="single"/>
        </w:rPr>
        <w:t xml:space="preserve"> (s</w:t>
      </w:r>
      <w:r w:rsidR="006C605E" w:rsidRPr="006C605E">
        <w:rPr>
          <w:rFonts w:ascii="Calibri" w:hAnsi="Calibri" w:cs="Calibri"/>
          <w:b/>
          <w:sz w:val="22"/>
          <w:u w:val="single"/>
        </w:rPr>
        <w:t>hort-term time-scale TDM for in-device coexistence</w:t>
      </w:r>
      <w:r w:rsidR="006C605E">
        <w:rPr>
          <w:rFonts w:ascii="Calibri" w:hAnsi="Calibri" w:cs="Calibri"/>
          <w:b/>
          <w:sz w:val="22"/>
          <w:u w:val="single"/>
        </w:rPr>
        <w:t>)</w:t>
      </w:r>
    </w:p>
    <w:p w:rsidR="00571B44" w:rsidRDefault="006C605E" w:rsidP="000A7F82">
      <w:pPr>
        <w:widowControl/>
        <w:spacing w:after="120"/>
        <w:ind w:firstLine="403"/>
        <w:rPr>
          <w:rFonts w:ascii="Calibri" w:hAnsi="Calibri" w:cs="Calibri"/>
          <w:sz w:val="22"/>
        </w:rPr>
      </w:pPr>
      <w:r>
        <w:rPr>
          <w:rFonts w:ascii="Calibri" w:hAnsi="Calibri" w:cs="Calibri" w:hint="eastAsia"/>
          <w:sz w:val="22"/>
        </w:rPr>
        <w:t>RAN1 agree</w:t>
      </w:r>
      <w:r>
        <w:rPr>
          <w:rFonts w:ascii="Calibri" w:hAnsi="Calibri" w:cs="Calibri"/>
          <w:sz w:val="22"/>
        </w:rPr>
        <w:t xml:space="preserve">d prioritization for the short-term TDM in-device coexistence is applicable when the priority of the other RAT is available. </w:t>
      </w:r>
      <w:r w:rsidR="0041049F">
        <w:rPr>
          <w:rFonts w:ascii="Calibri" w:hAnsi="Calibri" w:cs="Calibri"/>
          <w:sz w:val="22"/>
        </w:rPr>
        <w:t>I</w:t>
      </w:r>
      <w:r>
        <w:rPr>
          <w:rFonts w:ascii="Calibri" w:hAnsi="Calibri" w:cs="Calibri"/>
          <w:sz w:val="22"/>
        </w:rPr>
        <w:t xml:space="preserve">t seems the common understanding that this inter-RAT communication is a UE capability as already captured in FG 15-7, </w:t>
      </w:r>
      <w:r w:rsidR="0041049F">
        <w:rPr>
          <w:rFonts w:ascii="Calibri" w:hAnsi="Calibri" w:cs="Calibri"/>
          <w:sz w:val="22"/>
        </w:rPr>
        <w:t xml:space="preserve">so </w:t>
      </w:r>
      <w:r>
        <w:rPr>
          <w:rFonts w:ascii="Calibri" w:hAnsi="Calibri" w:cs="Calibri"/>
          <w:sz w:val="22"/>
        </w:rPr>
        <w:t xml:space="preserve">it is reasonable to </w:t>
      </w:r>
      <w:r w:rsidR="00CD4784">
        <w:rPr>
          <w:rFonts w:ascii="Calibri" w:hAnsi="Calibri" w:cs="Calibri"/>
          <w:sz w:val="22"/>
        </w:rPr>
        <w:t>define</w:t>
      </w:r>
      <w:r>
        <w:rPr>
          <w:rFonts w:ascii="Calibri" w:hAnsi="Calibri" w:cs="Calibri"/>
          <w:sz w:val="22"/>
        </w:rPr>
        <w:t xml:space="preserve"> the same set of candidate values for FG 15-6.</w:t>
      </w:r>
    </w:p>
    <w:p w:rsidR="006C605E" w:rsidRDefault="006C605E" w:rsidP="00571B44">
      <w:pPr>
        <w:widowControl/>
        <w:spacing w:after="120"/>
        <w:rPr>
          <w:rFonts w:ascii="Calibri" w:hAnsi="Calibri" w:cs="Calibri"/>
          <w:b/>
          <w:sz w:val="22"/>
          <w:u w:val="single"/>
        </w:rPr>
      </w:pPr>
      <w:r>
        <w:rPr>
          <w:rFonts w:ascii="Calibri" w:hAnsi="Calibri" w:cs="Calibri" w:hint="eastAsia"/>
          <w:b/>
          <w:sz w:val="22"/>
        </w:rPr>
        <w:t>Proposal</w:t>
      </w:r>
      <w:r w:rsidR="00AC7F07">
        <w:rPr>
          <w:rFonts w:ascii="Calibri" w:hAnsi="Calibri" w:cs="Calibri"/>
          <w:b/>
          <w:sz w:val="22"/>
        </w:rPr>
        <w:t xml:space="preserve"> 5</w:t>
      </w:r>
      <w:r>
        <w:rPr>
          <w:rFonts w:ascii="Calibri" w:hAnsi="Calibri" w:cs="Calibri" w:hint="eastAsia"/>
          <w:b/>
          <w:sz w:val="22"/>
        </w:rPr>
        <w:t>: FG</w:t>
      </w:r>
      <w:r>
        <w:rPr>
          <w:rFonts w:ascii="Calibri" w:hAnsi="Calibri" w:cs="Calibri"/>
          <w:b/>
          <w:sz w:val="22"/>
        </w:rPr>
        <w:t xml:space="preserve"> 15-6 </w:t>
      </w:r>
      <w:r w:rsidR="00CD4784">
        <w:rPr>
          <w:rFonts w:ascii="Calibri" w:hAnsi="Calibri" w:cs="Calibri"/>
          <w:b/>
          <w:sz w:val="22"/>
        </w:rPr>
        <w:t>define</w:t>
      </w:r>
      <w:r>
        <w:rPr>
          <w:rFonts w:ascii="Calibri" w:hAnsi="Calibri" w:cs="Calibri"/>
          <w:b/>
          <w:sz w:val="22"/>
        </w:rPr>
        <w:t>s the same set of candidate values as FG 15-7.</w:t>
      </w:r>
    </w:p>
    <w:p w:rsidR="006C605E" w:rsidRPr="00AC7F07" w:rsidRDefault="006C605E" w:rsidP="00571B44">
      <w:pPr>
        <w:widowControl/>
        <w:spacing w:after="120"/>
        <w:rPr>
          <w:rFonts w:ascii="Calibri" w:hAnsi="Calibri" w:cs="Calibri"/>
          <w:b/>
          <w:sz w:val="22"/>
          <w:u w:val="single"/>
        </w:rPr>
      </w:pPr>
    </w:p>
    <w:p w:rsidR="00571B44" w:rsidRPr="00571B44" w:rsidRDefault="00571B44" w:rsidP="00571B44">
      <w:pPr>
        <w:widowControl/>
        <w:spacing w:after="120"/>
        <w:rPr>
          <w:rFonts w:ascii="Calibri" w:hAnsi="Calibri" w:cs="Calibri"/>
          <w:b/>
          <w:sz w:val="22"/>
          <w:u w:val="single"/>
        </w:rPr>
      </w:pPr>
      <w:r w:rsidRPr="00571B44">
        <w:rPr>
          <w:rFonts w:ascii="Calibri" w:hAnsi="Calibri" w:cs="Calibri"/>
          <w:b/>
          <w:sz w:val="22"/>
          <w:u w:val="single"/>
        </w:rPr>
        <w:t>256 QAM RX (</w:t>
      </w:r>
      <w:r w:rsidR="00AC7F07">
        <w:rPr>
          <w:rFonts w:ascii="Calibri" w:hAnsi="Calibri" w:cs="Calibri"/>
          <w:b/>
          <w:sz w:val="22"/>
          <w:u w:val="single"/>
        </w:rPr>
        <w:t xml:space="preserve">FG </w:t>
      </w:r>
      <w:r w:rsidRPr="00571B44">
        <w:rPr>
          <w:rFonts w:ascii="Calibri" w:hAnsi="Calibri" w:cs="Calibri"/>
          <w:b/>
          <w:sz w:val="22"/>
          <w:u w:val="single"/>
        </w:rPr>
        <w:t>15-10a)</w:t>
      </w:r>
    </w:p>
    <w:p w:rsidR="00571B44" w:rsidRDefault="00AC7F07" w:rsidP="000A7F82">
      <w:pPr>
        <w:widowControl/>
        <w:spacing w:after="120"/>
        <w:ind w:firstLine="403"/>
        <w:rPr>
          <w:rFonts w:ascii="Calibri" w:hAnsi="Calibri" w:cs="Calibri"/>
          <w:sz w:val="22"/>
        </w:rPr>
      </w:pPr>
      <w:r>
        <w:rPr>
          <w:rFonts w:ascii="Calibri" w:hAnsi="Calibri" w:cs="Calibri"/>
          <w:sz w:val="22"/>
        </w:rPr>
        <w:t>In many practical operations, the quality of sidelink is not so predictable due to various sources of interference including t</w:t>
      </w:r>
      <w:r w:rsidR="0041049F">
        <w:rPr>
          <w:rFonts w:ascii="Calibri" w:hAnsi="Calibri" w:cs="Calibri"/>
          <w:sz w:val="22"/>
        </w:rPr>
        <w:t>he change of interference transmitters</w:t>
      </w:r>
      <w:r>
        <w:rPr>
          <w:rFonts w:ascii="Calibri" w:hAnsi="Calibri" w:cs="Calibri"/>
          <w:sz w:val="22"/>
        </w:rPr>
        <w:t xml:space="preserve"> around the sidleink receiver, resource collision, in-band emission, etc. So it is not likely that 256 QAM can be used widely; in other words, the usage of 256 QAM may be limited to some specific operations such as mode 1 where gNB can ensure stable interference environment by its proper resource allocation. Based on this, it is proposed to define FG 15-10a and make 256 QAM RX an optional feature.</w:t>
      </w:r>
    </w:p>
    <w:p w:rsidR="00AC7F07" w:rsidRPr="00AC7F07" w:rsidRDefault="00AC7F07" w:rsidP="00AC7F07">
      <w:pPr>
        <w:widowControl/>
        <w:spacing w:after="120"/>
        <w:rPr>
          <w:rFonts w:ascii="Calibri" w:hAnsi="Calibri" w:cs="Calibri"/>
          <w:b/>
          <w:sz w:val="22"/>
        </w:rPr>
      </w:pPr>
      <w:r w:rsidRPr="00AC7F07">
        <w:rPr>
          <w:rFonts w:ascii="Calibri" w:hAnsi="Calibri" w:cs="Calibri"/>
          <w:b/>
          <w:sz w:val="22"/>
        </w:rPr>
        <w:t>Proposal 6: FG 15-10a is defined and 256 QAM RX is an optional feature.</w:t>
      </w:r>
    </w:p>
    <w:p w:rsidR="00571B44" w:rsidRDefault="00571B44" w:rsidP="00571B44">
      <w:pPr>
        <w:widowControl/>
        <w:spacing w:after="120"/>
        <w:rPr>
          <w:rFonts w:ascii="Calibri" w:hAnsi="Calibri" w:cs="Calibri"/>
          <w:sz w:val="22"/>
        </w:rPr>
      </w:pPr>
    </w:p>
    <w:p w:rsidR="00571B44" w:rsidRPr="00571B44" w:rsidRDefault="00571B44" w:rsidP="00571B44">
      <w:pPr>
        <w:widowControl/>
        <w:spacing w:after="120"/>
        <w:rPr>
          <w:rFonts w:ascii="Calibri" w:hAnsi="Calibri" w:cs="Calibri"/>
          <w:b/>
          <w:sz w:val="22"/>
          <w:u w:val="single"/>
        </w:rPr>
      </w:pPr>
      <w:r w:rsidRPr="00571B44">
        <w:rPr>
          <w:rFonts w:ascii="Calibri" w:hAnsi="Calibri" w:cs="Calibri"/>
          <w:b/>
          <w:sz w:val="22"/>
          <w:u w:val="single"/>
        </w:rPr>
        <w:t>SL CSI reporting (</w:t>
      </w:r>
      <w:r w:rsidR="00AC7F07">
        <w:rPr>
          <w:rFonts w:ascii="Calibri" w:hAnsi="Calibri" w:cs="Calibri"/>
          <w:b/>
          <w:sz w:val="22"/>
          <w:u w:val="single"/>
        </w:rPr>
        <w:t xml:space="preserve">FG </w:t>
      </w:r>
      <w:r w:rsidRPr="00571B44">
        <w:rPr>
          <w:rFonts w:ascii="Calibri" w:hAnsi="Calibri" w:cs="Calibri"/>
          <w:b/>
          <w:sz w:val="22"/>
          <w:u w:val="single"/>
        </w:rPr>
        <w:t>15-14)</w:t>
      </w:r>
    </w:p>
    <w:p w:rsidR="00571B44" w:rsidRDefault="00AC7F07" w:rsidP="000A7F82">
      <w:pPr>
        <w:widowControl/>
        <w:spacing w:after="120"/>
        <w:ind w:firstLine="403"/>
        <w:rPr>
          <w:rFonts w:ascii="Calibri" w:hAnsi="Calibri" w:cs="Calibri"/>
          <w:sz w:val="22"/>
        </w:rPr>
      </w:pPr>
      <w:r>
        <w:rPr>
          <w:rFonts w:ascii="Calibri" w:hAnsi="Calibri" w:cs="Calibri" w:hint="eastAsia"/>
          <w:sz w:val="22"/>
        </w:rPr>
        <w:lastRenderedPageBreak/>
        <w:t>Similarly to the discussion on 256 QAM RX, the unpredictabl</w:t>
      </w:r>
      <w:r w:rsidR="0041049F">
        <w:rPr>
          <w:rFonts w:ascii="Calibri" w:hAnsi="Calibri" w:cs="Calibri" w:hint="eastAsia"/>
          <w:sz w:val="22"/>
        </w:rPr>
        <w:t>e nature of interference in sid</w:t>
      </w:r>
      <w:r>
        <w:rPr>
          <w:rFonts w:ascii="Calibri" w:hAnsi="Calibri" w:cs="Calibri" w:hint="eastAsia"/>
          <w:sz w:val="22"/>
        </w:rPr>
        <w:t>e</w:t>
      </w:r>
      <w:r w:rsidR="0041049F">
        <w:rPr>
          <w:rFonts w:ascii="Calibri" w:hAnsi="Calibri" w:cs="Calibri"/>
          <w:sz w:val="22"/>
        </w:rPr>
        <w:t>l</w:t>
      </w:r>
      <w:r>
        <w:rPr>
          <w:rFonts w:ascii="Calibri" w:hAnsi="Calibri" w:cs="Calibri" w:hint="eastAsia"/>
          <w:sz w:val="22"/>
        </w:rPr>
        <w:t xml:space="preserve">ink may lead to limited </w:t>
      </w:r>
      <w:r w:rsidR="0041049F">
        <w:rPr>
          <w:rFonts w:ascii="Calibri" w:hAnsi="Calibri" w:cs="Calibri" w:hint="eastAsia"/>
          <w:sz w:val="22"/>
        </w:rPr>
        <w:t>usage of sidelink SCI reporting</w:t>
      </w:r>
      <w:r>
        <w:rPr>
          <w:rFonts w:ascii="Calibri" w:hAnsi="Calibri" w:cs="Calibri" w:hint="eastAsia"/>
          <w:sz w:val="22"/>
        </w:rPr>
        <w:t xml:space="preserve">, </w:t>
      </w:r>
      <w:r>
        <w:rPr>
          <w:rFonts w:ascii="Calibri" w:hAnsi="Calibri" w:cs="Calibri"/>
          <w:sz w:val="22"/>
        </w:rPr>
        <w:t>especially</w:t>
      </w:r>
      <w:r>
        <w:rPr>
          <w:rFonts w:ascii="Calibri" w:hAnsi="Calibri" w:cs="Calibri" w:hint="eastAsia"/>
          <w:sz w:val="22"/>
        </w:rPr>
        <w:t xml:space="preserve"> </w:t>
      </w:r>
      <w:r>
        <w:rPr>
          <w:rFonts w:ascii="Calibri" w:hAnsi="Calibri" w:cs="Calibri"/>
          <w:sz w:val="22"/>
        </w:rPr>
        <w:t xml:space="preserve">under the current RAN1 agreement that the interference measurement for CSI calculation is not precisely defined. The benefit of sidelink CSI reporting seems to be limited to the cases </w:t>
      </w:r>
      <w:r w:rsidR="0041049F">
        <w:rPr>
          <w:rFonts w:ascii="Calibri" w:hAnsi="Calibri" w:cs="Calibri"/>
          <w:sz w:val="22"/>
        </w:rPr>
        <w:t>where gNB ensures s</w:t>
      </w:r>
      <w:r>
        <w:rPr>
          <w:rFonts w:ascii="Calibri" w:hAnsi="Calibri" w:cs="Calibri"/>
          <w:sz w:val="22"/>
        </w:rPr>
        <w:t>tab</w:t>
      </w:r>
      <w:r w:rsidR="0041049F">
        <w:rPr>
          <w:rFonts w:ascii="Calibri" w:hAnsi="Calibri" w:cs="Calibri"/>
          <w:sz w:val="22"/>
        </w:rPr>
        <w:t xml:space="preserve">le </w:t>
      </w:r>
      <w:r>
        <w:rPr>
          <w:rFonts w:ascii="Calibri" w:hAnsi="Calibri" w:cs="Calibri"/>
          <w:sz w:val="22"/>
        </w:rPr>
        <w:t xml:space="preserve">interference by </w:t>
      </w:r>
      <w:r w:rsidR="0041049F">
        <w:rPr>
          <w:rFonts w:ascii="Calibri" w:hAnsi="Calibri" w:cs="Calibri"/>
          <w:sz w:val="22"/>
        </w:rPr>
        <w:t xml:space="preserve">proper </w:t>
      </w:r>
      <w:r>
        <w:rPr>
          <w:rFonts w:ascii="Calibri" w:hAnsi="Calibri" w:cs="Calibri"/>
          <w:sz w:val="22"/>
        </w:rPr>
        <w:t>scheduling, so FG 15-14 needs to be optional.</w:t>
      </w:r>
    </w:p>
    <w:p w:rsidR="00AC7F07" w:rsidRPr="00AC7F07" w:rsidRDefault="00AC7F07" w:rsidP="00AC7F07">
      <w:pPr>
        <w:widowControl/>
        <w:spacing w:after="120"/>
        <w:rPr>
          <w:rFonts w:ascii="Calibri" w:hAnsi="Calibri" w:cs="Calibri"/>
          <w:b/>
          <w:sz w:val="22"/>
        </w:rPr>
      </w:pPr>
      <w:r w:rsidRPr="00AC7F07">
        <w:rPr>
          <w:rFonts w:ascii="Calibri" w:hAnsi="Calibri" w:cs="Calibri"/>
          <w:b/>
          <w:sz w:val="22"/>
        </w:rPr>
        <w:t xml:space="preserve">Proposal </w:t>
      </w:r>
      <w:r>
        <w:rPr>
          <w:rFonts w:ascii="Calibri" w:hAnsi="Calibri" w:cs="Calibri"/>
          <w:b/>
          <w:sz w:val="22"/>
        </w:rPr>
        <w:t>7</w:t>
      </w:r>
      <w:r w:rsidRPr="00AC7F07">
        <w:rPr>
          <w:rFonts w:ascii="Calibri" w:hAnsi="Calibri" w:cs="Calibri"/>
          <w:b/>
          <w:sz w:val="22"/>
        </w:rPr>
        <w:t xml:space="preserve">: </w:t>
      </w:r>
      <w:r>
        <w:rPr>
          <w:rFonts w:ascii="Calibri" w:hAnsi="Calibri" w:cs="Calibri"/>
          <w:b/>
          <w:sz w:val="22"/>
        </w:rPr>
        <w:t>Sidelink CSI reporting (</w:t>
      </w:r>
      <w:r w:rsidRPr="00AC7F07">
        <w:rPr>
          <w:rFonts w:ascii="Calibri" w:hAnsi="Calibri" w:cs="Calibri"/>
          <w:b/>
          <w:sz w:val="22"/>
        </w:rPr>
        <w:t>FG 15-1</w:t>
      </w:r>
      <w:r>
        <w:rPr>
          <w:rFonts w:ascii="Calibri" w:hAnsi="Calibri" w:cs="Calibri"/>
          <w:b/>
          <w:sz w:val="22"/>
        </w:rPr>
        <w:t>4)</w:t>
      </w:r>
      <w:r w:rsidRPr="00AC7F07">
        <w:rPr>
          <w:rFonts w:ascii="Calibri" w:hAnsi="Calibri" w:cs="Calibri"/>
          <w:b/>
          <w:sz w:val="22"/>
        </w:rPr>
        <w:t xml:space="preserve"> is an optional feature.</w:t>
      </w:r>
    </w:p>
    <w:p w:rsidR="00AC7F07" w:rsidRPr="00AC7F07" w:rsidRDefault="00AC7F07" w:rsidP="00AC7F07">
      <w:pPr>
        <w:widowControl/>
        <w:spacing w:after="120"/>
        <w:rPr>
          <w:rFonts w:ascii="Calibri" w:hAnsi="Calibri" w:cs="Calibri"/>
          <w:sz w:val="22"/>
        </w:rPr>
      </w:pPr>
    </w:p>
    <w:p w:rsidR="00571B44" w:rsidRPr="00571B44" w:rsidRDefault="00571B44" w:rsidP="00571B44">
      <w:pPr>
        <w:widowControl/>
        <w:spacing w:after="120"/>
        <w:rPr>
          <w:rFonts w:ascii="Calibri" w:hAnsi="Calibri" w:cs="Calibri"/>
          <w:b/>
          <w:sz w:val="22"/>
          <w:u w:val="single"/>
        </w:rPr>
      </w:pPr>
      <w:r w:rsidRPr="00571B44">
        <w:rPr>
          <w:rFonts w:ascii="Calibri" w:hAnsi="Calibri" w:cs="Calibri"/>
          <w:b/>
          <w:sz w:val="22"/>
          <w:u w:val="single"/>
        </w:rPr>
        <w:t>Rank 2 PSSCH reception (</w:t>
      </w:r>
      <w:r w:rsidR="00AC7F07">
        <w:rPr>
          <w:rFonts w:ascii="Calibri" w:hAnsi="Calibri" w:cs="Calibri"/>
          <w:b/>
          <w:sz w:val="22"/>
          <w:u w:val="single"/>
        </w:rPr>
        <w:t xml:space="preserve">FG </w:t>
      </w:r>
      <w:r w:rsidRPr="00571B44">
        <w:rPr>
          <w:rFonts w:ascii="Calibri" w:hAnsi="Calibri" w:cs="Calibri"/>
          <w:b/>
          <w:sz w:val="22"/>
          <w:u w:val="single"/>
        </w:rPr>
        <w:t>15-19)</w:t>
      </w:r>
    </w:p>
    <w:p w:rsidR="00571B44" w:rsidRDefault="00AC7F07" w:rsidP="000A7F82">
      <w:pPr>
        <w:widowControl/>
        <w:spacing w:after="120"/>
        <w:ind w:firstLine="403"/>
        <w:rPr>
          <w:rFonts w:ascii="Calibri" w:hAnsi="Calibri" w:cs="Calibri"/>
          <w:sz w:val="22"/>
        </w:rPr>
      </w:pPr>
      <w:r>
        <w:rPr>
          <w:rFonts w:ascii="Calibri" w:hAnsi="Calibri" w:cs="Calibri" w:hint="eastAsia"/>
          <w:sz w:val="22"/>
        </w:rPr>
        <w:t xml:space="preserve">With the same rationale provided for the 256 QAM RX and SL CSI </w:t>
      </w:r>
      <w:r>
        <w:rPr>
          <w:rFonts w:ascii="Calibri" w:hAnsi="Calibri" w:cs="Calibri"/>
          <w:sz w:val="22"/>
        </w:rPr>
        <w:t>reporting</w:t>
      </w:r>
      <w:r>
        <w:rPr>
          <w:rFonts w:ascii="Calibri" w:hAnsi="Calibri" w:cs="Calibri" w:hint="eastAsia"/>
          <w:sz w:val="22"/>
        </w:rPr>
        <w:t xml:space="preserve">, </w:t>
      </w:r>
      <w:r>
        <w:rPr>
          <w:rFonts w:ascii="Calibri" w:hAnsi="Calibri" w:cs="Calibri"/>
          <w:sz w:val="22"/>
        </w:rPr>
        <w:t>the usage of rank 2 PSSCH is limited and it should be an optional feature.</w:t>
      </w:r>
    </w:p>
    <w:p w:rsidR="00AC7F07" w:rsidRPr="00AC7F07" w:rsidRDefault="00AC7F07" w:rsidP="00AC7F07">
      <w:pPr>
        <w:widowControl/>
        <w:spacing w:after="120"/>
        <w:rPr>
          <w:rFonts w:ascii="Calibri" w:hAnsi="Calibri" w:cs="Calibri"/>
          <w:b/>
          <w:sz w:val="22"/>
        </w:rPr>
      </w:pPr>
      <w:r w:rsidRPr="00AC7F07">
        <w:rPr>
          <w:rFonts w:ascii="Calibri" w:hAnsi="Calibri" w:cs="Calibri"/>
          <w:b/>
          <w:sz w:val="22"/>
        </w:rPr>
        <w:t xml:space="preserve">Proposal </w:t>
      </w:r>
      <w:r>
        <w:rPr>
          <w:rFonts w:ascii="Calibri" w:hAnsi="Calibri" w:cs="Calibri"/>
          <w:b/>
          <w:sz w:val="22"/>
        </w:rPr>
        <w:t>8</w:t>
      </w:r>
      <w:r w:rsidRPr="00AC7F07">
        <w:rPr>
          <w:rFonts w:ascii="Calibri" w:hAnsi="Calibri" w:cs="Calibri"/>
          <w:b/>
          <w:sz w:val="22"/>
        </w:rPr>
        <w:t xml:space="preserve">: </w:t>
      </w:r>
      <w:r>
        <w:rPr>
          <w:rFonts w:ascii="Calibri" w:hAnsi="Calibri" w:cs="Calibri"/>
          <w:b/>
          <w:sz w:val="22"/>
        </w:rPr>
        <w:t>Rank 2 PSSCH reception (</w:t>
      </w:r>
      <w:r w:rsidRPr="00AC7F07">
        <w:rPr>
          <w:rFonts w:ascii="Calibri" w:hAnsi="Calibri" w:cs="Calibri"/>
          <w:b/>
          <w:sz w:val="22"/>
        </w:rPr>
        <w:t>FG 15-1</w:t>
      </w:r>
      <w:r>
        <w:rPr>
          <w:rFonts w:ascii="Calibri" w:hAnsi="Calibri" w:cs="Calibri"/>
          <w:b/>
          <w:sz w:val="22"/>
        </w:rPr>
        <w:t>4)</w:t>
      </w:r>
      <w:r w:rsidRPr="00AC7F07">
        <w:rPr>
          <w:rFonts w:ascii="Calibri" w:hAnsi="Calibri" w:cs="Calibri"/>
          <w:b/>
          <w:sz w:val="22"/>
        </w:rPr>
        <w:t xml:space="preserve"> is an optional feature.</w:t>
      </w:r>
    </w:p>
    <w:p w:rsidR="00571B44" w:rsidRDefault="00571B44" w:rsidP="00571B44">
      <w:pPr>
        <w:widowControl/>
        <w:spacing w:after="120"/>
        <w:rPr>
          <w:rFonts w:ascii="Calibri" w:hAnsi="Calibri" w:cs="Calibri"/>
          <w:sz w:val="22"/>
        </w:rPr>
      </w:pPr>
    </w:p>
    <w:p w:rsidR="00571B44" w:rsidRPr="00571B44" w:rsidRDefault="00571B44" w:rsidP="00571B44">
      <w:pPr>
        <w:widowControl/>
        <w:spacing w:after="120"/>
        <w:rPr>
          <w:rFonts w:ascii="Calibri" w:hAnsi="Calibri" w:cs="Calibri"/>
          <w:b/>
          <w:sz w:val="22"/>
          <w:u w:val="single"/>
        </w:rPr>
      </w:pPr>
      <w:r w:rsidRPr="00571B44">
        <w:rPr>
          <w:rFonts w:ascii="Calibri" w:hAnsi="Calibri" w:cs="Calibri"/>
          <w:b/>
          <w:sz w:val="22"/>
          <w:u w:val="single"/>
        </w:rPr>
        <w:t>SL pathloss based power control (15-23)</w:t>
      </w:r>
    </w:p>
    <w:p w:rsidR="00571B44" w:rsidRDefault="00425105" w:rsidP="000A7F82">
      <w:pPr>
        <w:widowControl/>
        <w:spacing w:after="120"/>
        <w:ind w:firstLine="403"/>
        <w:rPr>
          <w:rFonts w:ascii="Calibri" w:hAnsi="Calibri" w:cs="Calibri"/>
          <w:sz w:val="22"/>
        </w:rPr>
      </w:pPr>
      <w:r>
        <w:rPr>
          <w:rFonts w:ascii="Calibri" w:hAnsi="Calibri" w:cs="Calibri" w:hint="eastAsia"/>
          <w:sz w:val="22"/>
        </w:rPr>
        <w:t>As discussed as a part of basic FG discussion</w:t>
      </w:r>
      <w:r>
        <w:rPr>
          <w:rFonts w:ascii="Calibri" w:hAnsi="Calibri" w:cs="Calibri"/>
          <w:sz w:val="22"/>
        </w:rPr>
        <w:t xml:space="preserve"> above</w:t>
      </w:r>
      <w:r>
        <w:rPr>
          <w:rFonts w:ascii="Calibri" w:hAnsi="Calibri" w:cs="Calibri" w:hint="eastAsia"/>
          <w:sz w:val="22"/>
        </w:rPr>
        <w:t xml:space="preserve">, </w:t>
      </w:r>
      <w:r>
        <w:rPr>
          <w:rFonts w:ascii="Calibri" w:hAnsi="Calibri" w:cs="Calibri"/>
          <w:sz w:val="22"/>
        </w:rPr>
        <w:t>a feature dedicated to the unicast operation does not need to be mandated. So SL pathloss based power control should be an optional feature.</w:t>
      </w:r>
    </w:p>
    <w:p w:rsidR="00425105" w:rsidRPr="00AC7F07" w:rsidRDefault="00425105" w:rsidP="00425105">
      <w:pPr>
        <w:widowControl/>
        <w:spacing w:after="120"/>
        <w:rPr>
          <w:rFonts w:ascii="Calibri" w:hAnsi="Calibri" w:cs="Calibri"/>
          <w:b/>
          <w:sz w:val="22"/>
        </w:rPr>
      </w:pPr>
      <w:r w:rsidRPr="00AC7F07">
        <w:rPr>
          <w:rFonts w:ascii="Calibri" w:hAnsi="Calibri" w:cs="Calibri"/>
          <w:b/>
          <w:sz w:val="22"/>
        </w:rPr>
        <w:t xml:space="preserve">Proposal </w:t>
      </w:r>
      <w:r>
        <w:rPr>
          <w:rFonts w:ascii="Calibri" w:hAnsi="Calibri" w:cs="Calibri"/>
          <w:b/>
          <w:sz w:val="22"/>
        </w:rPr>
        <w:t>9</w:t>
      </w:r>
      <w:r w:rsidRPr="00AC7F07">
        <w:rPr>
          <w:rFonts w:ascii="Calibri" w:hAnsi="Calibri" w:cs="Calibri"/>
          <w:b/>
          <w:sz w:val="22"/>
        </w:rPr>
        <w:t xml:space="preserve">: </w:t>
      </w:r>
      <w:r>
        <w:rPr>
          <w:rFonts w:ascii="Calibri" w:hAnsi="Calibri" w:cs="Calibri"/>
          <w:b/>
          <w:sz w:val="22"/>
        </w:rPr>
        <w:t xml:space="preserve">Sidelink pathloss based power </w:t>
      </w:r>
      <w:r>
        <w:rPr>
          <w:rFonts w:ascii="Calibri" w:hAnsi="Calibri" w:cs="Calibri" w:hint="eastAsia"/>
          <w:b/>
          <w:sz w:val="22"/>
        </w:rPr>
        <w:t>con</w:t>
      </w:r>
      <w:r>
        <w:rPr>
          <w:rFonts w:ascii="Calibri" w:hAnsi="Calibri" w:cs="Calibri"/>
          <w:b/>
          <w:sz w:val="22"/>
        </w:rPr>
        <w:t>trol (</w:t>
      </w:r>
      <w:r w:rsidRPr="00AC7F07">
        <w:rPr>
          <w:rFonts w:ascii="Calibri" w:hAnsi="Calibri" w:cs="Calibri"/>
          <w:b/>
          <w:sz w:val="22"/>
        </w:rPr>
        <w:t>FG 15-</w:t>
      </w:r>
      <w:r>
        <w:rPr>
          <w:rFonts w:ascii="Calibri" w:hAnsi="Calibri" w:cs="Calibri"/>
          <w:b/>
          <w:sz w:val="22"/>
        </w:rPr>
        <w:t>23)</w:t>
      </w:r>
      <w:r w:rsidRPr="00AC7F07">
        <w:rPr>
          <w:rFonts w:ascii="Calibri" w:hAnsi="Calibri" w:cs="Calibri"/>
          <w:b/>
          <w:sz w:val="22"/>
        </w:rPr>
        <w:t xml:space="preserve"> is an optional feature.</w:t>
      </w:r>
    </w:p>
    <w:p w:rsidR="00425105" w:rsidRPr="00425105" w:rsidRDefault="00425105" w:rsidP="00571B44">
      <w:pPr>
        <w:widowControl/>
        <w:spacing w:after="120"/>
        <w:rPr>
          <w:rFonts w:ascii="Calibri" w:hAnsi="Calibri" w:cs="Calibri"/>
          <w:sz w:val="22"/>
        </w:rPr>
      </w:pPr>
    </w:p>
    <w:p w:rsidR="00571B44" w:rsidRPr="000A7F82" w:rsidRDefault="00571B44" w:rsidP="00571B44">
      <w:pPr>
        <w:widowControl/>
        <w:spacing w:after="120"/>
        <w:rPr>
          <w:rFonts w:ascii="Calibri" w:hAnsi="Calibri" w:cs="Calibri"/>
          <w:b/>
          <w:sz w:val="22"/>
          <w:u w:val="single"/>
        </w:rPr>
      </w:pPr>
      <w:r w:rsidRPr="000A7F82">
        <w:rPr>
          <w:rFonts w:ascii="Calibri" w:hAnsi="Calibri" w:cs="Calibri"/>
          <w:b/>
          <w:sz w:val="22"/>
          <w:u w:val="single"/>
        </w:rPr>
        <w:t>Support of multiple synchronization references (15-24)</w:t>
      </w:r>
    </w:p>
    <w:p w:rsidR="00571B44" w:rsidRDefault="00186D77" w:rsidP="000A7F82">
      <w:pPr>
        <w:widowControl/>
        <w:spacing w:after="120"/>
        <w:ind w:firstLine="403"/>
        <w:rPr>
          <w:rFonts w:ascii="Calibri" w:hAnsi="Calibri" w:cs="Calibri"/>
          <w:sz w:val="22"/>
        </w:rPr>
      </w:pPr>
      <w:r>
        <w:rPr>
          <w:rFonts w:ascii="Calibri" w:hAnsi="Calibri" w:cs="Calibri" w:hint="eastAsia"/>
          <w:sz w:val="22"/>
        </w:rPr>
        <w:t xml:space="preserve">Support of multiple synchronization references is an essential feature if two UEs </w:t>
      </w:r>
      <w:r>
        <w:rPr>
          <w:rFonts w:ascii="Calibri" w:hAnsi="Calibri" w:cs="Calibri"/>
          <w:sz w:val="22"/>
        </w:rPr>
        <w:t xml:space="preserve">in different synchronization clusters (e.g., two different </w:t>
      </w:r>
      <w:r w:rsidR="0041049F">
        <w:rPr>
          <w:rFonts w:ascii="Calibri" w:hAnsi="Calibri" w:cs="Calibri"/>
          <w:sz w:val="22"/>
        </w:rPr>
        <w:t>cells</w:t>
      </w:r>
      <w:r>
        <w:rPr>
          <w:rFonts w:ascii="Calibri" w:hAnsi="Calibri" w:cs="Calibri"/>
          <w:sz w:val="22"/>
        </w:rPr>
        <w:t xml:space="preserve"> not synchronized with each other) need to communicate. Such aspects were considered and specified in Rel-12 LTE D2D by introducing some network signaling for the information of sidelink synchronization used in the neighboring cells and defining the corresponding UE performance requirements in RAN4. It is noteworthy that these multiple synchronization references are used only for the reception and the UE always selects a single reference for its transmission. So if RAN1 needs to support sidelink across un-synchronized cells in Rel-16, the solution of Rel-12 LTE D2D can be replicated </w:t>
      </w:r>
      <w:r w:rsidR="00804A9A">
        <w:rPr>
          <w:rFonts w:ascii="Calibri" w:hAnsi="Calibri" w:cs="Calibri"/>
          <w:sz w:val="22"/>
        </w:rPr>
        <w:t>and a new FG can be introduced to indicate how many synchronization references a UE can use for its reception. However, if such specification works deemed infeasible in Rel-16, the support of multiple synchronization references can be considered in a later release.</w:t>
      </w:r>
    </w:p>
    <w:p w:rsidR="00804A9A" w:rsidRPr="00804A9A" w:rsidRDefault="00804A9A" w:rsidP="00804A9A">
      <w:pPr>
        <w:widowControl/>
        <w:spacing w:after="120"/>
        <w:rPr>
          <w:rFonts w:ascii="Calibri" w:hAnsi="Calibri" w:cs="Calibri"/>
          <w:b/>
          <w:sz w:val="22"/>
        </w:rPr>
      </w:pPr>
      <w:r w:rsidRPr="00804A9A">
        <w:rPr>
          <w:rFonts w:ascii="Calibri" w:hAnsi="Calibri" w:cs="Calibri"/>
          <w:b/>
          <w:sz w:val="22"/>
        </w:rPr>
        <w:t>Proposal 10: If RAN1 needs to support sidelink across un-synchronized cells in Rel-16, the solution of Rel-12 LTE D2D can be replicated and a new FG can be introduced to indicate how many synchronization references a UE can use for its reception. Otherwise, the support of multiple synchronization references can be considered in a later release.</w:t>
      </w:r>
    </w:p>
    <w:p w:rsidR="000A7F82" w:rsidRDefault="000A7F82" w:rsidP="00571B44">
      <w:pPr>
        <w:widowControl/>
        <w:spacing w:after="120"/>
        <w:rPr>
          <w:rFonts w:ascii="Calibri" w:hAnsi="Calibri" w:cs="Calibri"/>
          <w:sz w:val="22"/>
        </w:rPr>
      </w:pPr>
    </w:p>
    <w:p w:rsidR="00571B44" w:rsidRPr="000A7F82" w:rsidRDefault="00571B44" w:rsidP="00571B44">
      <w:pPr>
        <w:widowControl/>
        <w:spacing w:after="120"/>
        <w:rPr>
          <w:rFonts w:ascii="Calibri" w:hAnsi="Calibri" w:cs="Calibri"/>
          <w:b/>
          <w:sz w:val="22"/>
          <w:u w:val="single"/>
        </w:rPr>
      </w:pPr>
      <w:r w:rsidRPr="000A7F82">
        <w:rPr>
          <w:rFonts w:ascii="Calibri" w:hAnsi="Calibri" w:cs="Calibri"/>
          <w:b/>
          <w:sz w:val="22"/>
          <w:u w:val="single"/>
        </w:rPr>
        <w:t>Capability on LTE SL TX and RX</w:t>
      </w:r>
    </w:p>
    <w:p w:rsidR="00571B44" w:rsidRDefault="00E1553F" w:rsidP="000A7F82">
      <w:pPr>
        <w:widowControl/>
        <w:spacing w:after="120"/>
        <w:ind w:firstLine="403"/>
        <w:rPr>
          <w:rFonts w:ascii="Calibri" w:hAnsi="Calibri" w:cs="Calibri"/>
          <w:sz w:val="22"/>
        </w:rPr>
      </w:pPr>
      <w:r>
        <w:rPr>
          <w:rFonts w:ascii="Calibri" w:hAnsi="Calibri" w:cs="Calibri" w:hint="eastAsia"/>
          <w:sz w:val="22"/>
        </w:rPr>
        <w:t xml:space="preserve">When gNB controls LTE sidelink </w:t>
      </w:r>
      <w:r>
        <w:rPr>
          <w:rFonts w:ascii="Calibri" w:hAnsi="Calibri" w:cs="Calibri"/>
          <w:sz w:val="22"/>
        </w:rPr>
        <w:t xml:space="preserve">mode 3 or mode 4 </w:t>
      </w:r>
      <w:r>
        <w:rPr>
          <w:rFonts w:ascii="Calibri" w:hAnsi="Calibri" w:cs="Calibri" w:hint="eastAsia"/>
          <w:sz w:val="22"/>
        </w:rPr>
        <w:t>via Uu</w:t>
      </w:r>
      <w:r>
        <w:rPr>
          <w:rFonts w:ascii="Calibri" w:hAnsi="Calibri" w:cs="Calibri"/>
          <w:sz w:val="22"/>
        </w:rPr>
        <w:t>, it needs to know the UE capability in order to do proper scheduling and configuration. In order to allow signaling LTE sidelink capability to gNB, the NR feature list can include the LTE sidelink related features by copying those defined in LTE specifications. Alternatively, a note can be added to FG 15-7 and FG 15-9</w:t>
      </w:r>
      <w:r w:rsidR="00526274">
        <w:rPr>
          <w:rFonts w:ascii="Calibri" w:hAnsi="Calibri" w:cs="Calibri"/>
          <w:sz w:val="22"/>
        </w:rPr>
        <w:t xml:space="preserve"> that a UE shall report the LTE sidelink capability when it supports the FGs; RAN2 can define the necessary signaling based on this note.</w:t>
      </w:r>
    </w:p>
    <w:p w:rsidR="00526274" w:rsidRPr="00526274" w:rsidRDefault="00526274" w:rsidP="00526274">
      <w:pPr>
        <w:widowControl/>
        <w:spacing w:after="120"/>
        <w:rPr>
          <w:rFonts w:ascii="Calibri" w:hAnsi="Calibri" w:cs="Calibri"/>
          <w:b/>
          <w:sz w:val="22"/>
        </w:rPr>
      </w:pPr>
      <w:r w:rsidRPr="00526274">
        <w:rPr>
          <w:rFonts w:ascii="Calibri" w:hAnsi="Calibri" w:cs="Calibri"/>
          <w:b/>
          <w:sz w:val="22"/>
        </w:rPr>
        <w:t>Proposal 11: A UE needs to report LTE sidelink related features when it supports FG 15-7 (Transmitting LTE sidelink mode 3 scheduled by NR Uu) or 15-9 (Transmitting LTE sidelink mode 4 configured by NR Uu or preconfiguration). Either LTE sidelink features are included in the NR UE feature list or a note is added that a UE shall report the LTE sidelink capability when it supports the FGs.</w:t>
      </w:r>
    </w:p>
    <w:p w:rsidR="00571B44" w:rsidRDefault="00571B44" w:rsidP="002046EE">
      <w:pPr>
        <w:widowControl/>
        <w:spacing w:after="120"/>
        <w:rPr>
          <w:rFonts w:ascii="Calibri" w:hAnsi="Calibri" w:cs="Calibri"/>
          <w:sz w:val="22"/>
        </w:rPr>
      </w:pPr>
    </w:p>
    <w:p w:rsidR="000A7F82" w:rsidRPr="000A7F82" w:rsidRDefault="000A7F82" w:rsidP="002046EE">
      <w:pPr>
        <w:widowControl/>
        <w:spacing w:after="120"/>
        <w:rPr>
          <w:rFonts w:ascii="Calibri" w:hAnsi="Calibri" w:cs="Calibri"/>
          <w:b/>
          <w:sz w:val="22"/>
          <w:u w:val="single"/>
        </w:rPr>
      </w:pPr>
      <w:r w:rsidRPr="000A7F82">
        <w:rPr>
          <w:rFonts w:ascii="Calibri" w:hAnsi="Calibri" w:cs="Calibri" w:hint="eastAsia"/>
          <w:b/>
          <w:sz w:val="22"/>
          <w:u w:val="single"/>
        </w:rPr>
        <w:t>Impact on the LTE UE feature list</w:t>
      </w:r>
    </w:p>
    <w:p w:rsidR="000A7F82" w:rsidRDefault="00526274" w:rsidP="000A7F82">
      <w:pPr>
        <w:widowControl/>
        <w:spacing w:after="120"/>
        <w:ind w:firstLine="403"/>
        <w:rPr>
          <w:rFonts w:ascii="Calibri" w:hAnsi="Calibri" w:cs="Calibri"/>
          <w:sz w:val="22"/>
        </w:rPr>
      </w:pPr>
      <w:r>
        <w:rPr>
          <w:rFonts w:ascii="Calibri" w:hAnsi="Calibri" w:cs="Calibri" w:hint="eastAsia"/>
          <w:sz w:val="22"/>
        </w:rPr>
        <w:lastRenderedPageBreak/>
        <w:t xml:space="preserve">The current version in [2] includes NR sidelink features that need to be known to eNB for the proper scheduling and </w:t>
      </w:r>
      <w:r>
        <w:rPr>
          <w:rFonts w:ascii="Calibri" w:hAnsi="Calibri" w:cs="Calibri"/>
          <w:sz w:val="22"/>
        </w:rPr>
        <w:t>configuration</w:t>
      </w:r>
      <w:r>
        <w:rPr>
          <w:rFonts w:ascii="Calibri" w:hAnsi="Calibri" w:cs="Calibri" w:hint="eastAsia"/>
          <w:sz w:val="22"/>
        </w:rPr>
        <w:t xml:space="preserve">. </w:t>
      </w:r>
      <w:r>
        <w:rPr>
          <w:rFonts w:ascii="Calibri" w:hAnsi="Calibri" w:cs="Calibri"/>
          <w:sz w:val="22"/>
        </w:rPr>
        <w:t>Once the NR feature list is more stabilized, the corresponding parts of the LTE UE feature list can be updated.</w:t>
      </w:r>
    </w:p>
    <w:p w:rsidR="00526274" w:rsidRDefault="00526274" w:rsidP="000A7F82">
      <w:pPr>
        <w:widowControl/>
        <w:spacing w:after="120"/>
        <w:ind w:firstLine="403"/>
        <w:rPr>
          <w:rFonts w:ascii="Calibri" w:hAnsi="Calibri" w:cs="Calibri"/>
          <w:sz w:val="22"/>
        </w:rPr>
      </w:pPr>
      <w:r>
        <w:rPr>
          <w:rFonts w:ascii="Calibri" w:hAnsi="Calibri" w:cs="Calibri"/>
          <w:sz w:val="22"/>
        </w:rPr>
        <w:t>It was also discussed whether the basic FGs need to be defined in the LTE feature list as well. As the purpose of the basic FGs can be served by the NR list, it is not necessary to define them again in the LTE specifications. In fact, what was captured in the current LTE feature list is mostly about NR sidelink operation via LTE Uu which is not necessary for a UE not supporting LTE at all, making some of them the basic FGs would not work.</w:t>
      </w:r>
    </w:p>
    <w:p w:rsidR="00526274" w:rsidRPr="00526274" w:rsidRDefault="00526274" w:rsidP="00526274">
      <w:pPr>
        <w:widowControl/>
        <w:spacing w:after="120"/>
        <w:rPr>
          <w:rFonts w:ascii="Calibri" w:hAnsi="Calibri" w:cs="Calibri"/>
          <w:b/>
          <w:sz w:val="22"/>
        </w:rPr>
      </w:pPr>
      <w:r w:rsidRPr="00526274">
        <w:rPr>
          <w:rFonts w:ascii="Calibri" w:hAnsi="Calibri" w:cs="Calibri"/>
          <w:b/>
          <w:sz w:val="22"/>
        </w:rPr>
        <w:t>Proposal 12: Basic FGs for NR sidelink are not defined in the LTE UE feature list.</w:t>
      </w:r>
    </w:p>
    <w:p w:rsidR="000A7F82" w:rsidRDefault="000A7F82" w:rsidP="002046EE">
      <w:pPr>
        <w:widowControl/>
        <w:spacing w:after="120"/>
        <w:rPr>
          <w:rFonts w:ascii="Calibri" w:hAnsi="Calibri" w:cs="Calibri"/>
          <w:sz w:val="22"/>
        </w:rPr>
      </w:pPr>
    </w:p>
    <w:p w:rsidR="000A7F82" w:rsidRPr="0022441E" w:rsidRDefault="000A7F82" w:rsidP="000A7F8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Conclusions</w:t>
      </w:r>
    </w:p>
    <w:p w:rsidR="000A7F82" w:rsidRDefault="0041049F" w:rsidP="0041049F">
      <w:pPr>
        <w:widowControl/>
        <w:spacing w:after="120"/>
        <w:ind w:firstLine="403"/>
        <w:rPr>
          <w:rFonts w:ascii="Calibri" w:hAnsi="Calibri" w:cs="Calibri"/>
          <w:sz w:val="22"/>
        </w:rPr>
      </w:pPr>
      <w:r>
        <w:rPr>
          <w:rFonts w:ascii="Calibri" w:hAnsi="Calibri" w:cs="Calibri" w:hint="eastAsia"/>
          <w:sz w:val="22"/>
        </w:rPr>
        <w:t xml:space="preserve">This </w:t>
      </w:r>
      <w:r>
        <w:rPr>
          <w:rFonts w:ascii="Calibri" w:hAnsi="Calibri" w:cs="Calibri"/>
          <w:sz w:val="22"/>
        </w:rPr>
        <w:t>contribution</w:t>
      </w:r>
      <w:r>
        <w:rPr>
          <w:rFonts w:ascii="Calibri" w:hAnsi="Calibri" w:cs="Calibri" w:hint="eastAsia"/>
          <w:sz w:val="22"/>
        </w:rPr>
        <w:t xml:space="preserve"> </w:t>
      </w:r>
      <w:r>
        <w:rPr>
          <w:rFonts w:ascii="Calibri" w:hAnsi="Calibri" w:cs="Calibri"/>
          <w:sz w:val="22"/>
        </w:rPr>
        <w:t>discussed the remaining issues in the V2X part of RAN1 NR UE feature list. The following proposals were made based on the discussion:</w:t>
      </w:r>
    </w:p>
    <w:p w:rsidR="0041049F" w:rsidRPr="00451B9D" w:rsidRDefault="0041049F" w:rsidP="0041049F">
      <w:pPr>
        <w:widowControl/>
        <w:spacing w:after="120"/>
        <w:rPr>
          <w:rFonts w:ascii="Calibri" w:hAnsi="Calibri" w:cs="Calibri"/>
          <w:b/>
          <w:sz w:val="22"/>
        </w:rPr>
      </w:pPr>
      <w:r w:rsidRPr="00451B9D">
        <w:rPr>
          <w:rFonts w:ascii="Calibri" w:hAnsi="Calibri" w:cs="Calibri" w:hint="eastAsia"/>
          <w:b/>
          <w:sz w:val="22"/>
        </w:rPr>
        <w:t xml:space="preserve">Proposal 1: </w:t>
      </w:r>
      <w:r w:rsidRPr="00451B9D">
        <w:rPr>
          <w:rFonts w:ascii="Calibri" w:hAnsi="Calibri" w:cs="Calibri"/>
          <w:b/>
          <w:sz w:val="22"/>
        </w:rPr>
        <w:t>If RAN1 agrees to define the basic feature groups, it is proposed to include FG 15-1 (receiving NR sidelink), FG 15-3 (transmitting NR sidelink mode 2), FG 15-4 (GNSS and S-SSB), FG 15-5 (sidelink congestion control), FG 15-11 (PSFCH format 0), and FG 15-2 (transmitting NR sidleink mode 1). If RAN1 agrees that some of them can be managed by other means, it is not necessary to define the basic feature group in 3GPP.</w:t>
      </w:r>
    </w:p>
    <w:p w:rsidR="0041049F" w:rsidRPr="00571B44" w:rsidRDefault="0041049F" w:rsidP="0041049F">
      <w:pPr>
        <w:widowControl/>
        <w:spacing w:after="120"/>
        <w:rPr>
          <w:rFonts w:ascii="Calibri" w:hAnsi="Calibri" w:cs="Calibri"/>
          <w:b/>
          <w:sz w:val="22"/>
        </w:rPr>
      </w:pPr>
      <w:r w:rsidRPr="00571B44">
        <w:rPr>
          <w:rFonts w:ascii="Calibri" w:hAnsi="Calibri" w:cs="Calibri" w:hint="eastAsia"/>
          <w:b/>
          <w:sz w:val="22"/>
        </w:rPr>
        <w:t xml:space="preserve">Proposal 2: Sufficient </w:t>
      </w:r>
      <w:r w:rsidRPr="00571B44">
        <w:rPr>
          <w:rFonts w:ascii="Calibri" w:hAnsi="Calibri" w:cs="Calibri"/>
          <w:b/>
          <w:sz w:val="22"/>
        </w:rPr>
        <w:t>flexibility</w:t>
      </w:r>
      <w:r w:rsidRPr="00571B44">
        <w:rPr>
          <w:rFonts w:ascii="Calibri" w:hAnsi="Calibri" w:cs="Calibri" w:hint="eastAsia"/>
          <w:b/>
          <w:sz w:val="22"/>
        </w:rPr>
        <w:t xml:space="preserve"> </w:t>
      </w:r>
      <w:r w:rsidRPr="00571B44">
        <w:rPr>
          <w:rFonts w:ascii="Calibri" w:hAnsi="Calibri" w:cs="Calibri"/>
          <w:b/>
          <w:sz w:val="22"/>
        </w:rPr>
        <w:t>needs to be supported for the indication of the number of PSCCH and RBs a UE can decode/receive in FG 15-1.</w:t>
      </w:r>
      <w:r>
        <w:rPr>
          <w:rFonts w:ascii="Calibri" w:hAnsi="Calibri" w:cs="Calibri"/>
          <w:b/>
          <w:sz w:val="22"/>
        </w:rPr>
        <w:t xml:space="preserve"> </w:t>
      </w:r>
      <w:r w:rsidRPr="000205B4">
        <w:rPr>
          <w:rFonts w:ascii="Calibri" w:hAnsi="Calibri" w:cs="Calibri"/>
          <w:b/>
          <w:sz w:val="22"/>
        </w:rPr>
        <w:t>An example is to reuse the number of RBs in the Uu bandwidth configurations as the candidates of the number of RBs a UE can receive in sidelink.</w:t>
      </w:r>
    </w:p>
    <w:p w:rsidR="0041049F" w:rsidRPr="00571B44" w:rsidRDefault="0041049F" w:rsidP="0041049F">
      <w:pPr>
        <w:widowControl/>
        <w:spacing w:after="120"/>
        <w:rPr>
          <w:rFonts w:ascii="Calibri" w:hAnsi="Calibri" w:cs="Calibri"/>
          <w:b/>
          <w:sz w:val="22"/>
        </w:rPr>
      </w:pPr>
      <w:r w:rsidRPr="00571B44">
        <w:rPr>
          <w:rFonts w:ascii="Calibri" w:hAnsi="Calibri" w:cs="Calibri" w:hint="eastAsia"/>
          <w:b/>
          <w:sz w:val="22"/>
        </w:rPr>
        <w:t xml:space="preserve">Proposal 3: </w:t>
      </w:r>
      <w:r>
        <w:rPr>
          <w:rFonts w:ascii="Calibri" w:hAnsi="Calibri" w:cs="Calibri"/>
          <w:b/>
          <w:sz w:val="22"/>
        </w:rPr>
        <w:t>T</w:t>
      </w:r>
      <w:r w:rsidRPr="00571B44">
        <w:rPr>
          <w:rFonts w:ascii="Calibri" w:hAnsi="Calibri" w:cs="Calibri"/>
          <w:b/>
          <w:sz w:val="22"/>
        </w:rPr>
        <w:t>he candidate value set for the subcarrier spacing and CP length include</w:t>
      </w:r>
      <w:r>
        <w:rPr>
          <w:rFonts w:ascii="Calibri" w:hAnsi="Calibri" w:cs="Calibri"/>
          <w:b/>
          <w:sz w:val="22"/>
        </w:rPr>
        <w:t>s</w:t>
      </w:r>
      <w:r w:rsidRPr="00571B44">
        <w:rPr>
          <w:rFonts w:ascii="Calibri" w:hAnsi="Calibri" w:cs="Calibri"/>
          <w:b/>
          <w:sz w:val="22"/>
        </w:rPr>
        <w:t xml:space="preserve"> the support of only one subcarrier spacing and one CP length.</w:t>
      </w:r>
    </w:p>
    <w:p w:rsidR="0041049F" w:rsidRPr="000A7F82" w:rsidRDefault="0041049F" w:rsidP="0041049F">
      <w:pPr>
        <w:widowControl/>
        <w:spacing w:after="120"/>
        <w:rPr>
          <w:rFonts w:ascii="Calibri" w:hAnsi="Calibri" w:cs="Calibri"/>
          <w:b/>
          <w:sz w:val="22"/>
        </w:rPr>
      </w:pPr>
      <w:r w:rsidRPr="000A7F82">
        <w:rPr>
          <w:rFonts w:ascii="Calibri" w:hAnsi="Calibri" w:cs="Calibri"/>
          <w:b/>
          <w:sz w:val="22"/>
        </w:rPr>
        <w:t xml:space="preserve">Proposal 4: FG 15-1a and FG 15-3a are removed. </w:t>
      </w:r>
      <w:r>
        <w:rPr>
          <w:rFonts w:ascii="Calibri" w:hAnsi="Calibri" w:cs="Calibri"/>
          <w:b/>
          <w:sz w:val="22"/>
        </w:rPr>
        <w:t>It is clarified that, for the sidelink operation in a frequency band, the UE supports the pre-configuration and it also supports the network configuration via Uu in a frequency band where the concurrent Uu operation is supported.</w:t>
      </w:r>
    </w:p>
    <w:p w:rsidR="0041049F" w:rsidRDefault="0041049F" w:rsidP="0041049F">
      <w:pPr>
        <w:widowControl/>
        <w:spacing w:after="120"/>
        <w:rPr>
          <w:rFonts w:ascii="Calibri" w:hAnsi="Calibri" w:cs="Calibri"/>
          <w:b/>
          <w:sz w:val="22"/>
          <w:u w:val="single"/>
        </w:rPr>
      </w:pPr>
      <w:r>
        <w:rPr>
          <w:rFonts w:ascii="Calibri" w:hAnsi="Calibri" w:cs="Calibri" w:hint="eastAsia"/>
          <w:b/>
          <w:sz w:val="22"/>
        </w:rPr>
        <w:t>Proposal</w:t>
      </w:r>
      <w:r>
        <w:rPr>
          <w:rFonts w:ascii="Calibri" w:hAnsi="Calibri" w:cs="Calibri"/>
          <w:b/>
          <w:sz w:val="22"/>
        </w:rPr>
        <w:t xml:space="preserve"> 5</w:t>
      </w:r>
      <w:r>
        <w:rPr>
          <w:rFonts w:ascii="Calibri" w:hAnsi="Calibri" w:cs="Calibri" w:hint="eastAsia"/>
          <w:b/>
          <w:sz w:val="22"/>
        </w:rPr>
        <w:t>: FG</w:t>
      </w:r>
      <w:r>
        <w:rPr>
          <w:rFonts w:ascii="Calibri" w:hAnsi="Calibri" w:cs="Calibri"/>
          <w:b/>
          <w:sz w:val="22"/>
        </w:rPr>
        <w:t xml:space="preserve"> 15-6 defines the same set of candidate values as FG 15-7.</w:t>
      </w:r>
    </w:p>
    <w:p w:rsidR="0041049F" w:rsidRPr="00AC7F07" w:rsidRDefault="0041049F" w:rsidP="0041049F">
      <w:pPr>
        <w:widowControl/>
        <w:spacing w:after="120"/>
        <w:rPr>
          <w:rFonts w:ascii="Calibri" w:hAnsi="Calibri" w:cs="Calibri"/>
          <w:b/>
          <w:sz w:val="22"/>
        </w:rPr>
      </w:pPr>
      <w:r w:rsidRPr="00AC7F07">
        <w:rPr>
          <w:rFonts w:ascii="Calibri" w:hAnsi="Calibri" w:cs="Calibri"/>
          <w:b/>
          <w:sz w:val="22"/>
        </w:rPr>
        <w:t>Proposal 6: FG 15-10a is defined and 256 QAM RX is an optional feature.</w:t>
      </w:r>
    </w:p>
    <w:p w:rsidR="0041049F" w:rsidRPr="00AC7F07" w:rsidRDefault="0041049F" w:rsidP="0041049F">
      <w:pPr>
        <w:widowControl/>
        <w:spacing w:after="120"/>
        <w:rPr>
          <w:rFonts w:ascii="Calibri" w:hAnsi="Calibri" w:cs="Calibri"/>
          <w:b/>
          <w:sz w:val="22"/>
        </w:rPr>
      </w:pPr>
      <w:r w:rsidRPr="00AC7F07">
        <w:rPr>
          <w:rFonts w:ascii="Calibri" w:hAnsi="Calibri" w:cs="Calibri"/>
          <w:b/>
          <w:sz w:val="22"/>
        </w:rPr>
        <w:t xml:space="preserve">Proposal </w:t>
      </w:r>
      <w:r>
        <w:rPr>
          <w:rFonts w:ascii="Calibri" w:hAnsi="Calibri" w:cs="Calibri"/>
          <w:b/>
          <w:sz w:val="22"/>
        </w:rPr>
        <w:t>7</w:t>
      </w:r>
      <w:r w:rsidRPr="00AC7F07">
        <w:rPr>
          <w:rFonts w:ascii="Calibri" w:hAnsi="Calibri" w:cs="Calibri"/>
          <w:b/>
          <w:sz w:val="22"/>
        </w:rPr>
        <w:t xml:space="preserve">: </w:t>
      </w:r>
      <w:r>
        <w:rPr>
          <w:rFonts w:ascii="Calibri" w:hAnsi="Calibri" w:cs="Calibri"/>
          <w:b/>
          <w:sz w:val="22"/>
        </w:rPr>
        <w:t>Sidelink CSI reporting (</w:t>
      </w:r>
      <w:r w:rsidRPr="00AC7F07">
        <w:rPr>
          <w:rFonts w:ascii="Calibri" w:hAnsi="Calibri" w:cs="Calibri"/>
          <w:b/>
          <w:sz w:val="22"/>
        </w:rPr>
        <w:t>FG 15-1</w:t>
      </w:r>
      <w:r>
        <w:rPr>
          <w:rFonts w:ascii="Calibri" w:hAnsi="Calibri" w:cs="Calibri"/>
          <w:b/>
          <w:sz w:val="22"/>
        </w:rPr>
        <w:t>4)</w:t>
      </w:r>
      <w:r w:rsidRPr="00AC7F07">
        <w:rPr>
          <w:rFonts w:ascii="Calibri" w:hAnsi="Calibri" w:cs="Calibri"/>
          <w:b/>
          <w:sz w:val="22"/>
        </w:rPr>
        <w:t xml:space="preserve"> is an optional feature.</w:t>
      </w:r>
    </w:p>
    <w:p w:rsidR="0041049F" w:rsidRPr="00AC7F07" w:rsidRDefault="0041049F" w:rsidP="0041049F">
      <w:pPr>
        <w:widowControl/>
        <w:spacing w:after="120"/>
        <w:rPr>
          <w:rFonts w:ascii="Calibri" w:hAnsi="Calibri" w:cs="Calibri"/>
          <w:b/>
          <w:sz w:val="22"/>
        </w:rPr>
      </w:pPr>
      <w:r w:rsidRPr="00AC7F07">
        <w:rPr>
          <w:rFonts w:ascii="Calibri" w:hAnsi="Calibri" w:cs="Calibri"/>
          <w:b/>
          <w:sz w:val="22"/>
        </w:rPr>
        <w:t xml:space="preserve">Proposal </w:t>
      </w:r>
      <w:r>
        <w:rPr>
          <w:rFonts w:ascii="Calibri" w:hAnsi="Calibri" w:cs="Calibri"/>
          <w:b/>
          <w:sz w:val="22"/>
        </w:rPr>
        <w:t>8</w:t>
      </w:r>
      <w:r w:rsidRPr="00AC7F07">
        <w:rPr>
          <w:rFonts w:ascii="Calibri" w:hAnsi="Calibri" w:cs="Calibri"/>
          <w:b/>
          <w:sz w:val="22"/>
        </w:rPr>
        <w:t xml:space="preserve">: </w:t>
      </w:r>
      <w:r>
        <w:rPr>
          <w:rFonts w:ascii="Calibri" w:hAnsi="Calibri" w:cs="Calibri"/>
          <w:b/>
          <w:sz w:val="22"/>
        </w:rPr>
        <w:t>Rank 2 PSSCH reception (</w:t>
      </w:r>
      <w:r w:rsidRPr="00AC7F07">
        <w:rPr>
          <w:rFonts w:ascii="Calibri" w:hAnsi="Calibri" w:cs="Calibri"/>
          <w:b/>
          <w:sz w:val="22"/>
        </w:rPr>
        <w:t>FG 15-1</w:t>
      </w:r>
      <w:r>
        <w:rPr>
          <w:rFonts w:ascii="Calibri" w:hAnsi="Calibri" w:cs="Calibri"/>
          <w:b/>
          <w:sz w:val="22"/>
        </w:rPr>
        <w:t>4)</w:t>
      </w:r>
      <w:r w:rsidRPr="00AC7F07">
        <w:rPr>
          <w:rFonts w:ascii="Calibri" w:hAnsi="Calibri" w:cs="Calibri"/>
          <w:b/>
          <w:sz w:val="22"/>
        </w:rPr>
        <w:t xml:space="preserve"> is an optional feature.</w:t>
      </w:r>
    </w:p>
    <w:p w:rsidR="0041049F" w:rsidRPr="00AC7F07" w:rsidRDefault="0041049F" w:rsidP="0041049F">
      <w:pPr>
        <w:widowControl/>
        <w:spacing w:after="120"/>
        <w:rPr>
          <w:rFonts w:ascii="Calibri" w:hAnsi="Calibri" w:cs="Calibri"/>
          <w:b/>
          <w:sz w:val="22"/>
        </w:rPr>
      </w:pPr>
      <w:r w:rsidRPr="00AC7F07">
        <w:rPr>
          <w:rFonts w:ascii="Calibri" w:hAnsi="Calibri" w:cs="Calibri"/>
          <w:b/>
          <w:sz w:val="22"/>
        </w:rPr>
        <w:t xml:space="preserve">Proposal </w:t>
      </w:r>
      <w:r>
        <w:rPr>
          <w:rFonts w:ascii="Calibri" w:hAnsi="Calibri" w:cs="Calibri"/>
          <w:b/>
          <w:sz w:val="22"/>
        </w:rPr>
        <w:t>9</w:t>
      </w:r>
      <w:r w:rsidRPr="00AC7F07">
        <w:rPr>
          <w:rFonts w:ascii="Calibri" w:hAnsi="Calibri" w:cs="Calibri"/>
          <w:b/>
          <w:sz w:val="22"/>
        </w:rPr>
        <w:t xml:space="preserve">: </w:t>
      </w:r>
      <w:r>
        <w:rPr>
          <w:rFonts w:ascii="Calibri" w:hAnsi="Calibri" w:cs="Calibri"/>
          <w:b/>
          <w:sz w:val="22"/>
        </w:rPr>
        <w:t xml:space="preserve">Sidelink pathloss based power </w:t>
      </w:r>
      <w:r>
        <w:rPr>
          <w:rFonts w:ascii="Calibri" w:hAnsi="Calibri" w:cs="Calibri" w:hint="eastAsia"/>
          <w:b/>
          <w:sz w:val="22"/>
        </w:rPr>
        <w:t>con</w:t>
      </w:r>
      <w:r>
        <w:rPr>
          <w:rFonts w:ascii="Calibri" w:hAnsi="Calibri" w:cs="Calibri"/>
          <w:b/>
          <w:sz w:val="22"/>
        </w:rPr>
        <w:t>trol (</w:t>
      </w:r>
      <w:r w:rsidRPr="00AC7F07">
        <w:rPr>
          <w:rFonts w:ascii="Calibri" w:hAnsi="Calibri" w:cs="Calibri"/>
          <w:b/>
          <w:sz w:val="22"/>
        </w:rPr>
        <w:t>FG 15-</w:t>
      </w:r>
      <w:r>
        <w:rPr>
          <w:rFonts w:ascii="Calibri" w:hAnsi="Calibri" w:cs="Calibri"/>
          <w:b/>
          <w:sz w:val="22"/>
        </w:rPr>
        <w:t>23)</w:t>
      </w:r>
      <w:r w:rsidRPr="00AC7F07">
        <w:rPr>
          <w:rFonts w:ascii="Calibri" w:hAnsi="Calibri" w:cs="Calibri"/>
          <w:b/>
          <w:sz w:val="22"/>
        </w:rPr>
        <w:t xml:space="preserve"> is an optional feature.</w:t>
      </w:r>
    </w:p>
    <w:p w:rsidR="0041049F" w:rsidRPr="00804A9A" w:rsidRDefault="0041049F" w:rsidP="0041049F">
      <w:pPr>
        <w:widowControl/>
        <w:spacing w:after="120"/>
        <w:rPr>
          <w:rFonts w:ascii="Calibri" w:hAnsi="Calibri" w:cs="Calibri"/>
          <w:b/>
          <w:sz w:val="22"/>
        </w:rPr>
      </w:pPr>
      <w:r w:rsidRPr="00804A9A">
        <w:rPr>
          <w:rFonts w:ascii="Calibri" w:hAnsi="Calibri" w:cs="Calibri"/>
          <w:b/>
          <w:sz w:val="22"/>
        </w:rPr>
        <w:t>Proposal 10: If RAN1 needs to su</w:t>
      </w:r>
      <w:bookmarkStart w:id="2" w:name="_GoBack"/>
      <w:bookmarkEnd w:id="2"/>
      <w:r w:rsidRPr="00804A9A">
        <w:rPr>
          <w:rFonts w:ascii="Calibri" w:hAnsi="Calibri" w:cs="Calibri"/>
          <w:b/>
          <w:sz w:val="22"/>
        </w:rPr>
        <w:t>pport sidelink across un-synchronized cells in Rel-16, the solution of Rel-12 LTE D2D can be replicated and a new FG can be introduced to indicate how many synchronization references a UE can use for its reception. Otherwise, the support of multiple synchronization references can be considered in a later release.</w:t>
      </w:r>
    </w:p>
    <w:p w:rsidR="0041049F" w:rsidRPr="00526274" w:rsidRDefault="0041049F" w:rsidP="0041049F">
      <w:pPr>
        <w:widowControl/>
        <w:spacing w:after="120"/>
        <w:rPr>
          <w:rFonts w:ascii="Calibri" w:hAnsi="Calibri" w:cs="Calibri"/>
          <w:b/>
          <w:sz w:val="22"/>
        </w:rPr>
      </w:pPr>
      <w:r w:rsidRPr="00526274">
        <w:rPr>
          <w:rFonts w:ascii="Calibri" w:hAnsi="Calibri" w:cs="Calibri"/>
          <w:b/>
          <w:sz w:val="22"/>
        </w:rPr>
        <w:t>Proposal 11: A UE needs to report LTE sidelink related features when it supports FG 15-7 (Transmitting LTE sidelink mode 3 scheduled by NR Uu) or 15-9 (Transmitting LTE sidelink mode 4 configured by NR Uu or preconfiguration). Either LTE sidelink features are included in the NR UE feature list or a note is added that a UE shall report the LTE sidelink capability when it supports the FGs.</w:t>
      </w:r>
    </w:p>
    <w:p w:rsidR="0041049F" w:rsidRPr="00526274" w:rsidRDefault="0041049F" w:rsidP="0041049F">
      <w:pPr>
        <w:widowControl/>
        <w:spacing w:after="120"/>
        <w:rPr>
          <w:rFonts w:ascii="Calibri" w:hAnsi="Calibri" w:cs="Calibri"/>
          <w:b/>
          <w:sz w:val="22"/>
        </w:rPr>
      </w:pPr>
      <w:r w:rsidRPr="00526274">
        <w:rPr>
          <w:rFonts w:ascii="Calibri" w:hAnsi="Calibri" w:cs="Calibri"/>
          <w:b/>
          <w:sz w:val="22"/>
        </w:rPr>
        <w:t>Proposal 12: Basic FGs for NR sidelink are not defined in the LTE UE feature list.</w:t>
      </w:r>
    </w:p>
    <w:p w:rsidR="000A7F82" w:rsidRDefault="000A7F82" w:rsidP="002046EE">
      <w:pPr>
        <w:widowControl/>
        <w:spacing w:after="120"/>
        <w:rPr>
          <w:rFonts w:ascii="Calibri" w:hAnsi="Calibri" w:cs="Calibri"/>
          <w:sz w:val="22"/>
        </w:rPr>
      </w:pPr>
    </w:p>
    <w:p w:rsidR="002046EE" w:rsidRPr="0022441E" w:rsidRDefault="002046EE" w:rsidP="002046EE">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w:t>
      </w:r>
      <w:r w:rsidR="00974DF4">
        <w:rPr>
          <w:rFonts w:ascii="Times New Roman" w:eastAsia="SimSun" w:hAnsi="Times New Roman"/>
          <w:b/>
          <w:kern w:val="32"/>
          <w:sz w:val="28"/>
          <w:lang w:val="en-US" w:eastAsia="zh-CN"/>
        </w:rPr>
        <w:t>s</w:t>
      </w:r>
      <w:r w:rsidRPr="0022441E">
        <w:rPr>
          <w:rFonts w:ascii="Times New Roman" w:eastAsia="SimSun" w:hAnsi="Times New Roman"/>
          <w:b/>
          <w:kern w:val="32"/>
          <w:sz w:val="28"/>
          <w:lang w:val="en-US" w:eastAsia="zh-CN"/>
        </w:rPr>
        <w:t xml:space="preserve"> </w:t>
      </w:r>
    </w:p>
    <w:p w:rsidR="002046EE" w:rsidRDefault="002046EE" w:rsidP="002046EE">
      <w:pPr>
        <w:widowControl/>
        <w:spacing w:after="120"/>
        <w:rPr>
          <w:rFonts w:ascii="Calibri" w:hAnsi="Calibri" w:cs="Calibri"/>
          <w:sz w:val="22"/>
        </w:rPr>
      </w:pPr>
      <w:r>
        <w:rPr>
          <w:rFonts w:ascii="Calibri" w:hAnsi="Calibri" w:cs="Calibri" w:hint="eastAsia"/>
          <w:sz w:val="22"/>
        </w:rPr>
        <w:t xml:space="preserve">[1] </w:t>
      </w:r>
      <w:r w:rsidRPr="002046EE">
        <w:rPr>
          <w:rFonts w:ascii="Calibri" w:hAnsi="Calibri" w:cs="Calibri"/>
          <w:sz w:val="22"/>
        </w:rPr>
        <w:t>R1-2001484</w:t>
      </w:r>
      <w:r>
        <w:rPr>
          <w:rFonts w:ascii="Calibri" w:hAnsi="Calibri" w:cs="Calibri"/>
          <w:sz w:val="22"/>
        </w:rPr>
        <w:t>, “</w:t>
      </w:r>
      <w:r w:rsidRPr="002046EE">
        <w:rPr>
          <w:rFonts w:ascii="Calibri" w:hAnsi="Calibri" w:cs="Calibri"/>
          <w:sz w:val="22"/>
        </w:rPr>
        <w:t>RAN1 UE features list for Rel-16 NR after RAN1#100-E</w:t>
      </w:r>
      <w:r>
        <w:rPr>
          <w:rFonts w:ascii="Calibri" w:hAnsi="Calibri" w:cs="Calibri"/>
          <w:sz w:val="22"/>
        </w:rPr>
        <w:t xml:space="preserve">,” </w:t>
      </w:r>
      <w:r w:rsidRPr="002046EE">
        <w:rPr>
          <w:rFonts w:ascii="Calibri" w:hAnsi="Calibri" w:cs="Calibri"/>
          <w:sz w:val="22"/>
        </w:rPr>
        <w:t>AT&amp;T, NTT DOCOMO, INC.</w:t>
      </w:r>
    </w:p>
    <w:p w:rsidR="002046EE" w:rsidRDefault="00247044" w:rsidP="002046EE">
      <w:pPr>
        <w:widowControl/>
        <w:spacing w:after="120"/>
        <w:rPr>
          <w:rFonts w:ascii="Calibri" w:hAnsi="Calibri" w:cs="Calibri"/>
          <w:sz w:val="22"/>
        </w:rPr>
      </w:pPr>
      <w:r>
        <w:rPr>
          <w:rFonts w:ascii="Calibri" w:hAnsi="Calibri" w:cs="Calibri" w:hint="eastAsia"/>
          <w:sz w:val="22"/>
        </w:rPr>
        <w:t xml:space="preserve">[2] </w:t>
      </w:r>
      <w:r w:rsidRPr="00247044">
        <w:rPr>
          <w:rFonts w:ascii="Calibri" w:hAnsi="Calibri" w:cs="Calibri"/>
          <w:sz w:val="22"/>
        </w:rPr>
        <w:t>R1-2001485</w:t>
      </w:r>
      <w:r>
        <w:rPr>
          <w:rFonts w:ascii="Calibri" w:hAnsi="Calibri" w:cs="Calibri"/>
          <w:sz w:val="22"/>
        </w:rPr>
        <w:t>, “</w:t>
      </w:r>
      <w:r w:rsidRPr="00247044">
        <w:rPr>
          <w:rFonts w:ascii="Calibri" w:hAnsi="Calibri" w:cs="Calibri"/>
          <w:sz w:val="22"/>
        </w:rPr>
        <w:t>RAN1 UE features list for Rel-16 LTE after RAN1#100-E</w:t>
      </w:r>
      <w:r>
        <w:rPr>
          <w:rFonts w:ascii="Calibri" w:hAnsi="Calibri" w:cs="Calibri"/>
          <w:sz w:val="22"/>
        </w:rPr>
        <w:t xml:space="preserve">,” </w:t>
      </w:r>
      <w:r w:rsidRPr="00247044">
        <w:rPr>
          <w:rFonts w:ascii="Calibri" w:hAnsi="Calibri" w:cs="Calibri"/>
          <w:sz w:val="22"/>
        </w:rPr>
        <w:t>AT&amp;T, NTT DOCOMO, INC.</w:t>
      </w:r>
    </w:p>
    <w:sectPr w:rsidR="002046E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24D" w:rsidRDefault="0038124D">
      <w:r>
        <w:separator/>
      </w:r>
    </w:p>
  </w:endnote>
  <w:endnote w:type="continuationSeparator" w:id="0">
    <w:p w:rsidR="0038124D" w:rsidRDefault="00381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74DF4">
      <w:rPr>
        <w:rStyle w:val="a8"/>
        <w:noProof/>
      </w:rPr>
      <w:t>4</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24D" w:rsidRDefault="0038124D">
      <w:r>
        <w:separator/>
      </w:r>
    </w:p>
  </w:footnote>
  <w:footnote w:type="continuationSeparator" w:id="0">
    <w:p w:rsidR="0038124D" w:rsidRDefault="003812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9.6pt;height:9.6pt" o:bullet="t">
        <v:imagedata r:id="rId1" o:title="art1695"/>
      </v:shape>
    </w:pict>
  </w:numPicBullet>
  <w:numPicBullet w:numPicBulletId="1">
    <w:pict>
      <v:shape id="_x0000_i1039" type="#_x0000_t75" style="width:9.6pt;height:9.6pt" o:bullet="t">
        <v:imagedata r:id="rId2" o:title="art1742"/>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50F"/>
    <w:multiLevelType w:val="hybridMultilevel"/>
    <w:tmpl w:val="C802728A"/>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2" w15:restartNumberingAfterBreak="0">
    <w:nsid w:val="026B7A3E"/>
    <w:multiLevelType w:val="hybridMultilevel"/>
    <w:tmpl w:val="97C019F6"/>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77286"/>
    <w:multiLevelType w:val="hybridMultilevel"/>
    <w:tmpl w:val="8C1EC42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4C44F57"/>
    <w:multiLevelType w:val="hybridMultilevel"/>
    <w:tmpl w:val="84EE221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AAD13E9"/>
    <w:multiLevelType w:val="hybridMultilevel"/>
    <w:tmpl w:val="1DA8031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B4F9C"/>
    <w:multiLevelType w:val="hybridMultilevel"/>
    <w:tmpl w:val="24A8C3F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CA7221"/>
    <w:multiLevelType w:val="hybridMultilevel"/>
    <w:tmpl w:val="582E61A8"/>
    <w:lvl w:ilvl="0" w:tplc="04090009">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31914088"/>
    <w:multiLevelType w:val="hybridMultilevel"/>
    <w:tmpl w:val="D0AAB658"/>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6"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9314827"/>
    <w:multiLevelType w:val="hybridMultilevel"/>
    <w:tmpl w:val="89C032A6"/>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1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C3B39"/>
    <w:multiLevelType w:val="hybridMultilevel"/>
    <w:tmpl w:val="AB56A764"/>
    <w:lvl w:ilvl="0" w:tplc="04090009">
      <w:start w:val="1"/>
      <w:numFmt w:val="bullet"/>
      <w:lvlText w:val=""/>
      <w:lvlJc w:val="left"/>
      <w:pPr>
        <w:ind w:left="644"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5"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851F4D"/>
    <w:multiLevelType w:val="hybridMultilevel"/>
    <w:tmpl w:val="E69CAB6A"/>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8" w15:restartNumberingAfterBreak="0">
    <w:nsid w:val="46F904E3"/>
    <w:multiLevelType w:val="hybridMultilevel"/>
    <w:tmpl w:val="E02A6334"/>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9" w15:restartNumberingAfterBreak="0">
    <w:nsid w:val="482746FE"/>
    <w:multiLevelType w:val="hybridMultilevel"/>
    <w:tmpl w:val="97C4D6B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53B20CF2"/>
    <w:multiLevelType w:val="hybridMultilevel"/>
    <w:tmpl w:val="83F852D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4FB6A36"/>
    <w:multiLevelType w:val="hybridMultilevel"/>
    <w:tmpl w:val="E1DE892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26039"/>
    <w:multiLevelType w:val="hybridMultilevel"/>
    <w:tmpl w:val="5868127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EAA695A"/>
    <w:multiLevelType w:val="hybridMultilevel"/>
    <w:tmpl w:val="049652F2"/>
    <w:lvl w:ilvl="0" w:tplc="04090009">
      <w:start w:val="1"/>
      <w:numFmt w:val="bullet"/>
      <w:lvlText w:val=""/>
      <w:lvlJc w:val="left"/>
      <w:pPr>
        <w:ind w:left="1393" w:hanging="400"/>
      </w:pPr>
      <w:rPr>
        <w:rFonts w:ascii="Wingdings" w:hAnsi="Wingdings" w:hint="default"/>
      </w:rPr>
    </w:lvl>
    <w:lvl w:ilvl="1" w:tplc="04090003" w:tentative="1">
      <w:start w:val="1"/>
      <w:numFmt w:val="bullet"/>
      <w:lvlText w:val=""/>
      <w:lvlJc w:val="left"/>
      <w:pPr>
        <w:ind w:left="1793" w:hanging="400"/>
      </w:pPr>
      <w:rPr>
        <w:rFonts w:ascii="Wingdings" w:hAnsi="Wingdings" w:hint="default"/>
      </w:rPr>
    </w:lvl>
    <w:lvl w:ilvl="2" w:tplc="04090005" w:tentative="1">
      <w:start w:val="1"/>
      <w:numFmt w:val="bullet"/>
      <w:lvlText w:val=""/>
      <w:lvlJc w:val="left"/>
      <w:pPr>
        <w:ind w:left="2193" w:hanging="400"/>
      </w:pPr>
      <w:rPr>
        <w:rFonts w:ascii="Wingdings" w:hAnsi="Wingdings" w:hint="default"/>
      </w:rPr>
    </w:lvl>
    <w:lvl w:ilvl="3" w:tplc="04090001" w:tentative="1">
      <w:start w:val="1"/>
      <w:numFmt w:val="bullet"/>
      <w:lvlText w:val=""/>
      <w:lvlJc w:val="left"/>
      <w:pPr>
        <w:ind w:left="2593" w:hanging="400"/>
      </w:pPr>
      <w:rPr>
        <w:rFonts w:ascii="Wingdings" w:hAnsi="Wingdings" w:hint="default"/>
      </w:rPr>
    </w:lvl>
    <w:lvl w:ilvl="4" w:tplc="04090003" w:tentative="1">
      <w:start w:val="1"/>
      <w:numFmt w:val="bullet"/>
      <w:lvlText w:val=""/>
      <w:lvlJc w:val="left"/>
      <w:pPr>
        <w:ind w:left="2993" w:hanging="400"/>
      </w:pPr>
      <w:rPr>
        <w:rFonts w:ascii="Wingdings" w:hAnsi="Wingdings" w:hint="default"/>
      </w:rPr>
    </w:lvl>
    <w:lvl w:ilvl="5" w:tplc="04090005" w:tentative="1">
      <w:start w:val="1"/>
      <w:numFmt w:val="bullet"/>
      <w:lvlText w:val=""/>
      <w:lvlJc w:val="left"/>
      <w:pPr>
        <w:ind w:left="3393" w:hanging="400"/>
      </w:pPr>
      <w:rPr>
        <w:rFonts w:ascii="Wingdings" w:hAnsi="Wingdings" w:hint="default"/>
      </w:rPr>
    </w:lvl>
    <w:lvl w:ilvl="6" w:tplc="04090001" w:tentative="1">
      <w:start w:val="1"/>
      <w:numFmt w:val="bullet"/>
      <w:lvlText w:val=""/>
      <w:lvlJc w:val="left"/>
      <w:pPr>
        <w:ind w:left="3793" w:hanging="400"/>
      </w:pPr>
      <w:rPr>
        <w:rFonts w:ascii="Wingdings" w:hAnsi="Wingdings" w:hint="default"/>
      </w:rPr>
    </w:lvl>
    <w:lvl w:ilvl="7" w:tplc="04090003" w:tentative="1">
      <w:start w:val="1"/>
      <w:numFmt w:val="bullet"/>
      <w:lvlText w:val=""/>
      <w:lvlJc w:val="left"/>
      <w:pPr>
        <w:ind w:left="4193" w:hanging="400"/>
      </w:pPr>
      <w:rPr>
        <w:rFonts w:ascii="Wingdings" w:hAnsi="Wingdings" w:hint="default"/>
      </w:rPr>
    </w:lvl>
    <w:lvl w:ilvl="8" w:tplc="04090005" w:tentative="1">
      <w:start w:val="1"/>
      <w:numFmt w:val="bullet"/>
      <w:lvlText w:val=""/>
      <w:lvlJc w:val="left"/>
      <w:pPr>
        <w:ind w:left="4593" w:hanging="400"/>
      </w:pPr>
      <w:rPr>
        <w:rFonts w:ascii="Wingdings" w:hAnsi="Wingdings" w:hint="default"/>
      </w:rPr>
    </w:lvl>
  </w:abstractNum>
  <w:abstractNum w:abstractNumId="39" w15:restartNumberingAfterBreak="0">
    <w:nsid w:val="67B01DB5"/>
    <w:multiLevelType w:val="hybridMultilevel"/>
    <w:tmpl w:val="1C403F8E"/>
    <w:lvl w:ilvl="0" w:tplc="598E1456">
      <w:start w:val="1"/>
      <w:numFmt w:val="bullet"/>
      <w:lvlText w:val="–"/>
      <w:lvlJc w:val="left"/>
      <w:pPr>
        <w:ind w:left="800"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BC47DEA"/>
    <w:multiLevelType w:val="hybridMultilevel"/>
    <w:tmpl w:val="8D8E22DE"/>
    <w:lvl w:ilvl="0" w:tplc="EFFE7C04">
      <w:start w:val="1"/>
      <w:numFmt w:val="bullet"/>
      <w:lvlText w:val="•"/>
      <w:lvlJc w:val="left"/>
      <w:pPr>
        <w:ind w:left="800" w:hanging="400"/>
      </w:pPr>
      <w:rPr>
        <w:rFonts w:ascii="바탕" w:eastAsia="바탕" w:hAnsi="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0A41F37"/>
    <w:multiLevelType w:val="hybridMultilevel"/>
    <w:tmpl w:val="840413F2"/>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42"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4B3A5A"/>
    <w:multiLevelType w:val="hybridMultilevel"/>
    <w:tmpl w:val="9C9C793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0164D"/>
    <w:multiLevelType w:val="hybridMultilevel"/>
    <w:tmpl w:val="81C27F7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4"/>
  </w:num>
  <w:num w:numId="3">
    <w:abstractNumId w:val="31"/>
  </w:num>
  <w:num w:numId="4">
    <w:abstractNumId w:val="45"/>
  </w:num>
  <w:num w:numId="5">
    <w:abstractNumId w:val="47"/>
  </w:num>
  <w:num w:numId="6">
    <w:abstractNumId w:val="24"/>
  </w:num>
  <w:num w:numId="7">
    <w:abstractNumId w:val="35"/>
  </w:num>
  <w:num w:numId="8">
    <w:abstractNumId w:val="21"/>
  </w:num>
  <w:num w:numId="9">
    <w:abstractNumId w:val="39"/>
  </w:num>
  <w:num w:numId="10">
    <w:abstractNumId w:val="38"/>
  </w:num>
  <w:num w:numId="11">
    <w:abstractNumId w:val="18"/>
  </w:num>
  <w:num w:numId="12">
    <w:abstractNumId w:val="30"/>
  </w:num>
  <w:num w:numId="13">
    <w:abstractNumId w:val="22"/>
  </w:num>
  <w:num w:numId="14">
    <w:abstractNumId w:val="25"/>
  </w:num>
  <w:num w:numId="15">
    <w:abstractNumId w:val="23"/>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7"/>
  </w:num>
  <w:num w:numId="18">
    <w:abstractNumId w:val="28"/>
  </w:num>
  <w:num w:numId="19">
    <w:abstractNumId w:val="43"/>
  </w:num>
  <w:num w:numId="20">
    <w:abstractNumId w:val="37"/>
  </w:num>
  <w:num w:numId="21">
    <w:abstractNumId w:val="29"/>
  </w:num>
  <w:num w:numId="22">
    <w:abstractNumId w:val="15"/>
  </w:num>
  <w:num w:numId="23">
    <w:abstractNumId w:val="46"/>
  </w:num>
  <w:num w:numId="24">
    <w:abstractNumId w:val="8"/>
  </w:num>
  <w:num w:numId="25">
    <w:abstractNumId w:val="12"/>
  </w:num>
  <w:num w:numId="26">
    <w:abstractNumId w:val="27"/>
  </w:num>
  <w:num w:numId="27">
    <w:abstractNumId w:val="2"/>
  </w:num>
  <w:num w:numId="28">
    <w:abstractNumId w:val="1"/>
  </w:num>
  <w:num w:numId="29">
    <w:abstractNumId w:val="11"/>
  </w:num>
  <w:num w:numId="30">
    <w:abstractNumId w:val="13"/>
  </w:num>
  <w:num w:numId="31">
    <w:abstractNumId w:val="9"/>
  </w:num>
  <w:num w:numId="32">
    <w:abstractNumId w:val="32"/>
  </w:num>
  <w:num w:numId="33">
    <w:abstractNumId w:val="33"/>
  </w:num>
  <w:num w:numId="34">
    <w:abstractNumId w:val="36"/>
  </w:num>
  <w:num w:numId="35">
    <w:abstractNumId w:val="5"/>
  </w:num>
  <w:num w:numId="36">
    <w:abstractNumId w:val="44"/>
  </w:num>
  <w:num w:numId="37">
    <w:abstractNumId w:val="19"/>
  </w:num>
  <w:num w:numId="38">
    <w:abstractNumId w:val="34"/>
  </w:num>
  <w:num w:numId="39">
    <w:abstractNumId w:val="4"/>
  </w:num>
  <w:num w:numId="40">
    <w:abstractNumId w:val="26"/>
  </w:num>
  <w:num w:numId="41">
    <w:abstractNumId w:val="10"/>
  </w:num>
  <w:num w:numId="42">
    <w:abstractNumId w:val="41"/>
  </w:num>
  <w:num w:numId="43">
    <w:abstractNumId w:val="20"/>
  </w:num>
  <w:num w:numId="44">
    <w:abstractNumId w:val="16"/>
  </w:num>
  <w:num w:numId="45">
    <w:abstractNumId w:val="40"/>
  </w:num>
  <w:num w:numId="46">
    <w:abstractNumId w:val="3"/>
  </w:num>
  <w:num w:numId="47">
    <w:abstractNumId w:val="6"/>
  </w:num>
  <w:num w:numId="48">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5F2"/>
    <w:rsid w:val="0037509F"/>
    <w:rsid w:val="00376109"/>
    <w:rsid w:val="0037632C"/>
    <w:rsid w:val="00376419"/>
    <w:rsid w:val="00376FBB"/>
    <w:rsid w:val="00377093"/>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A9A"/>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049F"/>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46"/>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39F42-F6CC-422C-9C53-FE0E3E490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4</Pages>
  <Words>2082</Words>
  <Characters>11868</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13923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 v2</cp:lastModifiedBy>
  <cp:revision>20</cp:revision>
  <cp:lastPrinted>2014-01-26T05:26:00Z</cp:lastPrinted>
  <dcterms:created xsi:type="dcterms:W3CDTF">2020-02-17T08:04:00Z</dcterms:created>
  <dcterms:modified xsi:type="dcterms:W3CDTF">2020-04-10T07:14:00Z</dcterms:modified>
</cp:coreProperties>
</file>